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0C323" w14:textId="259F22A2" w:rsidR="009A19FF" w:rsidRDefault="009A19FF"/>
    <w:p w14:paraId="71E54394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  <w:lang w:eastAsia="ru-RU"/>
        </w:rPr>
        <w:t>«</w:t>
      </w:r>
      <w:proofErr w:type="spellStart"/>
      <w:r w:rsidRPr="00A5353E"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  <w:lang w:eastAsia="ru-RU"/>
        </w:rPr>
        <w:t>Գրանցված</w:t>
      </w:r>
      <w:proofErr w:type="spellEnd"/>
      <w:r w:rsidRPr="00A5353E"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  <w:lang w:eastAsia="ru-RU"/>
        </w:rPr>
        <w:t xml:space="preserve"> է»</w:t>
      </w:r>
    </w:p>
    <w:p w14:paraId="035E8B7E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ՀՀ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արդարադատության</w:t>
      </w:r>
      <w:proofErr w:type="spellEnd"/>
    </w:p>
    <w:p w14:paraId="5D1A04AA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նախարարության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կողմից</w:t>
      </w:r>
      <w:proofErr w:type="spellEnd"/>
    </w:p>
    <w:p w14:paraId="4A31C7D2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i/>
          <w:iCs/>
          <w:color w:val="000000"/>
          <w:sz w:val="21"/>
          <w:szCs w:val="21"/>
          <w:lang w:eastAsia="ru-RU"/>
        </w:rPr>
        <w:t xml:space="preserve">6 </w:t>
      </w:r>
      <w:proofErr w:type="spellStart"/>
      <w:r w:rsidRPr="00A5353E">
        <w:rPr>
          <w:rFonts w:ascii="Arial Unicode" w:eastAsia="Times New Roman" w:hAnsi="Arial Unicode" w:cs="Times New Roman"/>
          <w:i/>
          <w:iCs/>
          <w:color w:val="000000"/>
          <w:sz w:val="21"/>
          <w:szCs w:val="21"/>
          <w:lang w:eastAsia="ru-RU"/>
        </w:rPr>
        <w:t>սեպտեմբերի</w:t>
      </w:r>
      <w:proofErr w:type="spellEnd"/>
      <w:r w:rsidRPr="00A5353E">
        <w:rPr>
          <w:rFonts w:ascii="Arial Unicode" w:eastAsia="Times New Roman" w:hAnsi="Arial Unicode" w:cs="Times New Roman"/>
          <w:i/>
          <w:iCs/>
          <w:color w:val="000000"/>
          <w:sz w:val="21"/>
          <w:szCs w:val="21"/>
          <w:lang w:eastAsia="ru-RU"/>
        </w:rPr>
        <w:t xml:space="preserve"> 2017 թ.</w:t>
      </w:r>
    </w:p>
    <w:p w14:paraId="72CBA9DD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proofErr w:type="spellStart"/>
      <w:r w:rsidRPr="00A5353E">
        <w:rPr>
          <w:rFonts w:ascii="Arial Unicode" w:eastAsia="Times New Roman" w:hAnsi="Arial Unicode" w:cs="Times New Roman"/>
          <w:i/>
          <w:iCs/>
          <w:color w:val="000000"/>
          <w:sz w:val="21"/>
          <w:szCs w:val="21"/>
          <w:lang w:eastAsia="ru-RU"/>
        </w:rPr>
        <w:t>Պետական</w:t>
      </w:r>
      <w:proofErr w:type="spellEnd"/>
      <w:r w:rsidRPr="00A5353E">
        <w:rPr>
          <w:rFonts w:ascii="Arial Unicode" w:eastAsia="Times New Roman" w:hAnsi="Arial Unicode" w:cs="Times New Roman"/>
          <w:i/>
          <w:iCs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i/>
          <w:iCs/>
          <w:color w:val="000000"/>
          <w:sz w:val="21"/>
          <w:szCs w:val="21"/>
          <w:lang w:eastAsia="ru-RU"/>
        </w:rPr>
        <w:t>գրանցման</w:t>
      </w:r>
      <w:proofErr w:type="spellEnd"/>
      <w:r w:rsidRPr="00A5353E">
        <w:rPr>
          <w:rFonts w:ascii="Arial Unicode" w:eastAsia="Times New Roman" w:hAnsi="Arial Unicode" w:cs="Times New Roman"/>
          <w:i/>
          <w:iCs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i/>
          <w:iCs/>
          <w:color w:val="000000"/>
          <w:sz w:val="21"/>
          <w:szCs w:val="21"/>
          <w:lang w:eastAsia="ru-RU"/>
        </w:rPr>
        <w:t>թիվ</w:t>
      </w:r>
      <w:proofErr w:type="spellEnd"/>
      <w:r w:rsidRPr="00A5353E">
        <w:rPr>
          <w:rFonts w:ascii="Arial Unicode" w:eastAsia="Times New Roman" w:hAnsi="Arial Unicode" w:cs="Times New Roman"/>
          <w:i/>
          <w:iCs/>
          <w:color w:val="000000"/>
          <w:sz w:val="21"/>
          <w:szCs w:val="21"/>
          <w:lang w:eastAsia="ru-RU"/>
        </w:rPr>
        <w:t xml:space="preserve"> 32617363</w:t>
      </w:r>
    </w:p>
    <w:p w14:paraId="0A4076AE" w14:textId="77777777" w:rsidR="00A5353E" w:rsidRPr="00A5353E" w:rsidRDefault="00A5353E" w:rsidP="00A5353E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66159A32" w14:textId="77777777" w:rsidR="00A5353E" w:rsidRPr="00A5353E" w:rsidRDefault="00A5353E" w:rsidP="00A5353E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b/>
          <w:bCs/>
          <w:color w:val="000000"/>
          <w:sz w:val="27"/>
          <w:szCs w:val="27"/>
          <w:lang w:eastAsia="ru-RU"/>
        </w:rPr>
        <w:t>ՀԱՅԱՍՏԱՆԻ ՀԱՆՐԱՊԵՏՈՒԹՅԱՆ</w:t>
      </w:r>
    </w:p>
    <w:p w14:paraId="65C957B7" w14:textId="77777777" w:rsidR="00A5353E" w:rsidRPr="00A5353E" w:rsidRDefault="00A5353E" w:rsidP="00A5353E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 </w:t>
      </w:r>
    </w:p>
    <w:p w14:paraId="7836E25E" w14:textId="77777777" w:rsidR="00A5353E" w:rsidRPr="00A5353E" w:rsidRDefault="00A5353E" w:rsidP="00A5353E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b/>
          <w:bCs/>
          <w:color w:val="000000"/>
          <w:sz w:val="24"/>
          <w:szCs w:val="24"/>
          <w:lang w:eastAsia="ru-RU"/>
        </w:rPr>
        <w:t>ԱՐՏԱԿԱՐԳ ԻՐԱՎԻՃԱԿՆԵՐԻ ՆԱԽԱՐԱՐ</w:t>
      </w:r>
    </w:p>
    <w:p w14:paraId="6C9716A6" w14:textId="77777777" w:rsidR="00A5353E" w:rsidRPr="00A5353E" w:rsidRDefault="00A5353E" w:rsidP="00A5353E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A5353E" w:rsidRPr="00A5353E" w14:paraId="39D8E7C1" w14:textId="77777777" w:rsidTr="00A5353E">
        <w:trPr>
          <w:tblCellSpacing w:w="7" w:type="dxa"/>
        </w:trPr>
        <w:tc>
          <w:tcPr>
            <w:tcW w:w="2500" w:type="pct"/>
            <w:shd w:val="clear" w:color="auto" w:fill="FFFFFF"/>
            <w:vAlign w:val="center"/>
            <w:hideMark/>
          </w:tcPr>
          <w:p w14:paraId="7B4CCAB9" w14:textId="77777777" w:rsidR="00A5353E" w:rsidRPr="00A5353E" w:rsidRDefault="00A5353E" w:rsidP="00A5353E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A5353E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 xml:space="preserve">7 </w:t>
            </w:r>
            <w:proofErr w:type="spellStart"/>
            <w:r w:rsidRPr="00A5353E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օգոստոսի</w:t>
            </w:r>
            <w:proofErr w:type="spellEnd"/>
            <w:r w:rsidRPr="00A5353E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 xml:space="preserve"> 2017 թ.</w:t>
            </w:r>
            <w:r w:rsidRPr="00A5353E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br/>
              <w:t xml:space="preserve">ք. </w:t>
            </w:r>
            <w:proofErr w:type="spellStart"/>
            <w:r w:rsidRPr="00A5353E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Երևան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14:paraId="4C0A151D" w14:textId="77777777" w:rsidR="00A5353E" w:rsidRPr="00A5353E" w:rsidRDefault="00A5353E" w:rsidP="00A5353E">
            <w:pPr>
              <w:spacing w:after="0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A5353E"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  <w:t>N 893-Ն</w:t>
            </w:r>
          </w:p>
        </w:tc>
      </w:tr>
    </w:tbl>
    <w:p w14:paraId="513FB85F" w14:textId="77777777" w:rsidR="00A5353E" w:rsidRPr="00A5353E" w:rsidRDefault="00A5353E" w:rsidP="00A5353E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b/>
          <w:bCs/>
          <w:color w:val="000000"/>
          <w:sz w:val="36"/>
          <w:szCs w:val="36"/>
          <w:lang w:eastAsia="ru-RU"/>
        </w:rPr>
        <w:t>Հ Ր Ա Մ Ա Ն</w:t>
      </w:r>
    </w:p>
    <w:p w14:paraId="1490E583" w14:textId="77777777" w:rsidR="00A5353E" w:rsidRPr="00A5353E" w:rsidRDefault="00A5353E" w:rsidP="00A5353E">
      <w:pPr>
        <w:shd w:val="clear" w:color="auto" w:fill="FFFFFF"/>
        <w:spacing w:after="0" w:line="240" w:lineRule="auto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15C193A1" w14:textId="77777777" w:rsidR="00A5353E" w:rsidRPr="00A5353E" w:rsidRDefault="00A5353E" w:rsidP="00A5353E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ՍԱԿՐԱՎՈՐԱԿԱՆ ԱՇԽԱՏԱՆՔՆԵՐԻ ԻՐԱԿԱՆԱՑՄԱՆ ԿԱՐԳԸ ՀԱՍՏԱՏԵԼՈՒ ՄԱՍԻՆ</w:t>
      </w:r>
    </w:p>
    <w:p w14:paraId="3E495471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1E393B6F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Համաձայն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«Փրկարարական ծառայության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կանոնագիրքը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հաստատելու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մասին»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Հայաստանի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Հանրապետության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այսուհետ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` ՀՀ)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օրենքով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հաստատված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փրկարարական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ծառայության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կանոնագրքի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120-րդ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հոդվածի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2-րդ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մասի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9-րդ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կետի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ղեկավարվելով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ՀՀ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կառավարության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2016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թվականի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մարտի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3-ի N 259-Ն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որոշման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2-րդ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կետի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1-ին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ենթակետով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հաստատված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ՀՀ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արտակարգ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իրավիճակների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նախարարության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այսուհետ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` ԱԻՆ)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կանոնադրության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16-րդ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կետի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4-րդ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ենթակետով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14A9D6A3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529BDF5D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proofErr w:type="spellStart"/>
      <w:r w:rsidRPr="00A5353E"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  <w:lang w:eastAsia="ru-RU"/>
        </w:rPr>
        <w:t>Հրամայում</w:t>
      </w:r>
      <w:proofErr w:type="spellEnd"/>
      <w:r w:rsidRPr="00A5353E"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  <w:lang w:eastAsia="ru-RU"/>
        </w:rPr>
        <w:t>եմ</w:t>
      </w:r>
      <w:proofErr w:type="spellEnd"/>
      <w:r w:rsidRPr="00A5353E">
        <w:rPr>
          <w:rFonts w:ascii="Arial Unicode" w:eastAsia="Times New Roman" w:hAnsi="Arial Unicode" w:cs="Times New Roman"/>
          <w:b/>
          <w:bCs/>
          <w:i/>
          <w:iCs/>
          <w:color w:val="000000"/>
          <w:sz w:val="21"/>
          <w:szCs w:val="21"/>
          <w:lang w:eastAsia="ru-RU"/>
        </w:rPr>
        <w:t>`</w:t>
      </w:r>
    </w:p>
    <w:p w14:paraId="40D4DCCF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4127CBDD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Հաստատել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կարգը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`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համաձայն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հավելվածի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2EC4AEE2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2. ՀՀ ԱԻՆ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աշխատակազմի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իրավաբանական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վարչության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պետ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Վարդան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Աճեմյանին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`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սահմանված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ժամկետում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կարգով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ապահովել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սույն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հրամանի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ներկայացումը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ՀՀ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արդարադատության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նախարարություն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`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պետական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գրանցման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4A75E686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3.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Սույն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հրամանն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ուժի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մեջ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մտնում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պաշտոնական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հրապարակման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օրվան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հաջորդող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տասներորդ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։</w:t>
      </w:r>
    </w:p>
    <w:p w14:paraId="28197507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73AB58EB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 xml:space="preserve">Դ. </w:t>
      </w:r>
      <w:proofErr w:type="spellStart"/>
      <w:r w:rsidRPr="00A5353E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Տոնոյան</w:t>
      </w:r>
      <w:proofErr w:type="spellEnd"/>
    </w:p>
    <w:p w14:paraId="0F7F253D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4"/>
        <w:gridCol w:w="4521"/>
      </w:tblGrid>
      <w:tr w:rsidR="00A5353E" w:rsidRPr="00A5353E" w14:paraId="42202F61" w14:textId="77777777" w:rsidTr="00A5353E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1BC43E00" w14:textId="77777777" w:rsidR="00A5353E" w:rsidRPr="00A5353E" w:rsidRDefault="00A5353E" w:rsidP="00A5353E">
            <w:pPr>
              <w:spacing w:after="0" w:line="240" w:lineRule="auto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r w:rsidRPr="00A5353E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500" w:type="dxa"/>
            <w:shd w:val="clear" w:color="auto" w:fill="FFFFFF"/>
            <w:vAlign w:val="bottom"/>
            <w:hideMark/>
          </w:tcPr>
          <w:p w14:paraId="528B3940" w14:textId="77777777" w:rsidR="00A5353E" w:rsidRPr="00A5353E" w:rsidRDefault="00A5353E" w:rsidP="00A5353E">
            <w:pPr>
              <w:spacing w:before="100" w:beforeAutospacing="1" w:after="100" w:afterAutospacing="1" w:line="240" w:lineRule="auto"/>
              <w:jc w:val="center"/>
              <w:rPr>
                <w:rFonts w:ascii="Arial Unicode" w:eastAsia="Times New Roman" w:hAnsi="Arial Unicode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A5353E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>Հավելված</w:t>
            </w:r>
            <w:proofErr w:type="spellEnd"/>
            <w:r w:rsidRPr="00A5353E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A5353E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>Հայաստանի</w:t>
            </w:r>
            <w:proofErr w:type="spellEnd"/>
            <w:r w:rsidRPr="00A5353E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A5353E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>Հանրապետության</w:t>
            </w:r>
            <w:proofErr w:type="spellEnd"/>
            <w:r w:rsidRPr="00A5353E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br/>
            </w:r>
            <w:proofErr w:type="spellStart"/>
            <w:r w:rsidRPr="00A5353E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>արտակարգ</w:t>
            </w:r>
            <w:proofErr w:type="spellEnd"/>
            <w:r w:rsidRPr="00A5353E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A5353E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>իրավիճակների</w:t>
            </w:r>
            <w:proofErr w:type="spellEnd"/>
            <w:r w:rsidRPr="00A5353E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  <w:proofErr w:type="spellStart"/>
            <w:r w:rsidRPr="00A5353E">
              <w:rPr>
                <w:rFonts w:ascii="Arial Unicode" w:eastAsia="Times New Roman" w:hAnsi="Arial Unicode" w:cs="Arial Unicode"/>
                <w:b/>
                <w:bCs/>
                <w:color w:val="000000"/>
                <w:sz w:val="15"/>
                <w:szCs w:val="15"/>
                <w:lang w:eastAsia="ru-RU"/>
              </w:rPr>
              <w:t>նախարարի</w:t>
            </w:r>
            <w:proofErr w:type="spellEnd"/>
            <w:r w:rsidRPr="00A5353E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br/>
              <w:t xml:space="preserve">2017թ. </w:t>
            </w:r>
            <w:proofErr w:type="spellStart"/>
            <w:r w:rsidRPr="00A5353E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>օգոստոսի</w:t>
            </w:r>
            <w:proofErr w:type="spellEnd"/>
            <w:r w:rsidRPr="00A5353E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 7-ի N</w:t>
            </w:r>
            <w:r w:rsidRPr="00A5353E">
              <w:rPr>
                <w:rFonts w:ascii="Calibri" w:eastAsia="Times New Roman" w:hAnsi="Calibri" w:cs="Calibri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  <w:r w:rsidRPr="00A5353E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>893-</w:t>
            </w:r>
            <w:r w:rsidRPr="00A5353E">
              <w:rPr>
                <w:rFonts w:ascii="Arial Unicode" w:eastAsia="Times New Roman" w:hAnsi="Arial Unicode" w:cs="Arial Unicode"/>
                <w:b/>
                <w:bCs/>
                <w:color w:val="000000"/>
                <w:sz w:val="15"/>
                <w:szCs w:val="15"/>
                <w:lang w:eastAsia="ru-RU"/>
              </w:rPr>
              <w:t>Ն</w:t>
            </w:r>
            <w:r w:rsidRPr="00A5353E">
              <w:rPr>
                <w:rFonts w:ascii="Arial Unicode" w:eastAsia="Times New Roman" w:hAnsi="Arial Unicode" w:cs="Times New Roman"/>
                <w:b/>
                <w:bCs/>
                <w:color w:val="000000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A5353E">
              <w:rPr>
                <w:rFonts w:ascii="Arial Unicode" w:eastAsia="Times New Roman" w:hAnsi="Arial Unicode" w:cs="Arial Unicode"/>
                <w:b/>
                <w:bCs/>
                <w:color w:val="000000"/>
                <w:sz w:val="15"/>
                <w:szCs w:val="15"/>
                <w:lang w:eastAsia="ru-RU"/>
              </w:rPr>
              <w:t>հրամանի</w:t>
            </w:r>
            <w:proofErr w:type="spellEnd"/>
          </w:p>
        </w:tc>
      </w:tr>
    </w:tbl>
    <w:p w14:paraId="67C681FD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4575BA60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Կ Ա Ր Գ</w:t>
      </w:r>
    </w:p>
    <w:p w14:paraId="507BCB31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382EFA3B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ՍԱԿՐԱՎՈՐԱԿԱՆ ԱՇԽԱՏԱՆՔՆԵՐԻ ԻՐԱԿԱՆԱՑՄԱՆ</w:t>
      </w:r>
    </w:p>
    <w:p w14:paraId="7D4284B1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7BE983A4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ԳԼՈՒԽ I. ԸՆԴՀԱՆՈՒՐ ԴՐՈՒՅԹՆԵՐ</w:t>
      </w:r>
    </w:p>
    <w:p w14:paraId="486C28D5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78674FC3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Սույն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կարգով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կարգավորվում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ինժեներասակրավորական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կազմակերպման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ժամանակ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ստորաբաժանումների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առանձնահատկությունները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2E6BEA9F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2.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հիմնական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խնդիրն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արտակարգ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իրավիճակների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ժամանակ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օբյեկտներում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տարածքներում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պայթյունավտանգ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առարկաների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արկերի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զինամթերքի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ինքնաշեն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հայտնաբերման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վնասազերծման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պայթեցման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ոչնչացման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փրկարարական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անհետաձգելի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կատարելը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տուժածներին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որոնելու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գործողությունները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լիարժեք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կատարելը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փլատակներում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անցումներ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բացելը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վնասված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կառուցվածքների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շենք-շինությունների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անվնաս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փլուզման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ապահովելը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ինչպես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նաև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հակաահաբեկչական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գործողությունների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ծավալման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ընթացքում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նյութերի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հայտնաբերումը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7D14961F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lastRenderedPageBreak/>
        <w:t xml:space="preserve">3.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Ինժեներասակրավորական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ստորաբաժանման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ստեղծումը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արտակարգ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իրավիճակներում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փրկարարական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ուժերի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խնդիրների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լուծման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գործողությունների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ապահովման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կարևորագույն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տեսակ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է:</w:t>
      </w:r>
    </w:p>
    <w:p w14:paraId="19D02497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4.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Հակաահաբեկչական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գործողությունների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ծավալման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ընթացքում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նյութերի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հայտնաբերման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հումանիտար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ականազերծման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փրկարարական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օպերացիաների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անհրաժեշտությունից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ելնելով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Հայաստանի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Հանրապետության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այսուհետ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ՀՀ)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արտակարգ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իրավիճակների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նախարարության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այսուհետ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ԱԻՆ)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փրկարար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ծառայությունում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այսուհետ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ՓԾ)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ստեղծվում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ինժեներասակրավորական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ստորաբաժանում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61187C1C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5.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Ինժեներասակրավորական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ստորաբաժանումը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կանոնադրության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համաձայն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պահպանելով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ինչպես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ականազերծման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այնպես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էլ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պայթեցման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նորմերը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կանոնները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035E346A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500D6BBF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ԳԼՈՒԽ II. ԻՆԺԵՆԵՐԱՍԱԿՐԱՎՈՐԱԿԱՆ ՍՏՈՐԱԲԱԺԱՆՄԱՆ ԱՇԽԱՏԱՆՔՆԵՐԻ ԻՐԱԿԱՆԱՑՄԱՆ ՓՈՒԼԵՐԸ</w:t>
      </w:r>
    </w:p>
    <w:p w14:paraId="2DEB62CB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3A39C882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6.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Ինժեներասակրավորական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ստորաբաժանման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հիմնական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փուլերն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`</w:t>
      </w:r>
    </w:p>
    <w:p w14:paraId="55CDF6FF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արտակարգ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իրավիճակի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մասին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տեղեկատվության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ստացումը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վերլուծումը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59897152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2)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հայտնաբերումը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բնակելի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արտադրական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մասնավոր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շենք-շինություններում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մարդաշատ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վայրից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հեռու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հողատարածքում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):</w:t>
      </w:r>
    </w:p>
    <w:p w14:paraId="08CD4B15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7.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Համաձայն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6-րդ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կետում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բերված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հիմնական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փուլերի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ինժեներասակրավորական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ստորաբաժանման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կողմից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է՝</w:t>
      </w:r>
    </w:p>
    <w:p w14:paraId="46C61482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արտակարգ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իրավիճակի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մասին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տեղեկատվության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ստացումից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իրավիճակը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վերլուծելուց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հետո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խմբի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ավագի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կողմից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մյուս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սակրավորներին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պայթեցողներին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իրավիճակի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ծանոթացումը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կատարվելիք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վերաբերյալ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խնդրադրումը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380D9BB0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2)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ստորաբաժանումը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մեքենայով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վայր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շարժվելիս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նախատեսված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անհրաժեշտ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գույք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հանդերձանք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պայթեցման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վերցնումը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հասնելով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վայր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անմիջապես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պահպանման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միջոցառումների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7D1A8E51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3)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ելնելով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իրավիճակից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փրկարար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ծառայության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մյուս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ստորաբաժանումների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ոստիկանության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ծառայակիցների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հետ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համատեղ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մարդկանց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տարահանումը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վտանգավոր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սահմանազատումը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Օբյեկտի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բնակելի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շենք-շինության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ղեկավար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լիազոր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մարմնի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) հետ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տարահանման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պլանի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բոլոր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մուտքերի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ճշտումը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Պահպանելով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կանոնները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վտանգավոր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տարածքում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գտնվող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մարդկանց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հատուկ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նախատեսված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վայր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հեռու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գոտի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տարահանումը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7ED2C264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4)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խմբի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ավագի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կողմից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ոստիկանության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հետ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համատեղ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գտնվելու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վայրի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նրա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տեսակի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մասին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տեղեկության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ճշտումը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անհրաժեշտության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անհապաղ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վայր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ժամանումը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ՀՀ ԱԻՆ ՓԾ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ճգնաժամային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կառավարման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ազգային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կենտրոնից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կոնկրետ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տեղանքի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տեղագրական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կոորդինատների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ճշտումը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ճանապարհային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անցունակության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ժամանակացույցի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76787807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5)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անմիջական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հրամանատարի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կողմից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ինժեներասակրավորական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խմբի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ղեկավարումը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առանձին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`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առավել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բարդ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իրավիճակներում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գործողությունների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վերադաս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հրամանատարների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կողմից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ղեկավարումը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06A18E92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6)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օբյեկտներում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բաց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տարածքներում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չպայթած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զինամթերքի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նյութերի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պայթյունավտանգ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առարկաների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առկայության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դրանց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կասկածի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արդարացված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ռիսկի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սահմաններում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հետախուզության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կազմակերպումը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7EE72B69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7)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անհրաժեշտության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ինժեներասակրավորային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խմբի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կողմից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չպայթած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զինամթերքի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պայթյունավտանգ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առարկաների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նյութերի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վնասազերծումը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պայթեցումը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Փլատակներում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անցումների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բացումը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վնասված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կառույցների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պայթեցման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եղանակով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փլուզումը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05795A14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8)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փրկարարական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տուժածներին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օբյեկտներում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տարածքներում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պայթյունավտանգ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առարկաների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նյութերի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հայտնաբերումն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իրականացնելու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նպատակով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ծառայողական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մշտական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պատրաստության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ապահովումը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1B81595B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9)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հակաահաբեկչական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գործողությունների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ծավալման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ընթացքում,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իրավասությունների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շրջանակում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հայտնաբերման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վնասազերծման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նպատակով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ՀՀ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ազգային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ծառայության, ՀՀ ԿԱ ՀՀ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ոստիկանության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ՀՀ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պաշտպանության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lastRenderedPageBreak/>
        <w:t>նախարարության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գերատեսչական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մարմինների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հետ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ներդաշնակ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համգործակցության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4C4DB25A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10)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հումանիտար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ականազերծման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գործունեություն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իրականացնող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միջազգային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կազմակերպությունների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տարբեր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հիմնադրամների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հետ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համագործակցության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պայմանագրերի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շրջանակում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վտանգավոր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տարածքներում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հատկապես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սահմանամերձ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շրջաններում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ականազերծման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5BC00CAC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71B3047D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ԳԼՈՒԽ III. ՈՐՈՆՈՂԱԿԱՆ ԱՇԽԱՏԱՆՔՆԵՐԻ ԻՐԱԿԱՆԱՑՈՒՄԸ</w:t>
      </w:r>
    </w:p>
    <w:p w14:paraId="7BC01FB9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148E0734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8.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Որոնողական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լինում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հիմնական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արտաքին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ներքին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27B70745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9.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Հիմնական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որոնողական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ընթացքում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հանդիպելով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տարբեր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պետք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պահպանի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կանոնները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քանի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դրանք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կարող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լինել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Որոնողական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կարող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տևել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կարճ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ժամանակահատվածից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մինչև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քանի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ժամ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կախված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շինության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չափերից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մասնագիտական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պատրաստվածությունից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տեղադրողի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փորձառու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լինելուց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339EB071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10.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Արտաքին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որոնողական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փողոցի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շինության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մոտ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տարածքից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սակրավոր-կինոլոգների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կողմից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Մինչ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որոնողական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սկսելը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ստուգվում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մոտ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կանգնած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մեքենաները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կոյուղու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դիտահորերը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աղբամանները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մոտակայքում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գտնվող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հոսանքի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շիթերը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շրջապատող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բուսականությունը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ծաղկամանները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անձրևատար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ջրերի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խողովակները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կասկածելի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վայրերը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69E3B8BD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11.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Ներքին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որոնողական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ամբողջ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շենքում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ներքևից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վերև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նկուղը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ավտոկանգառը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կաթսայատունը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վերելակի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հորը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մնացած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սենյակները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Կախված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շինության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չափերից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ավելի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արդյունավետ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դարձնելու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խումբը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կարող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բաժանվել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քանի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խմբերի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2-ական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հոգով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խմբի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ավագը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տեղակայվում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հրամանատարական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կետում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որտեղից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ղեկավարում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ամբողջ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գործընթացը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Խմբի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ավագը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խմբերի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հետ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մշտական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ռադիոկապի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մեջ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լինում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ընդունում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խմբերի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զեկույցներից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նշումներ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շինության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պլանի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հատակագծի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ստուգված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հատվածների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վրա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Ընդ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հագեցվածությամբ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10-25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քմ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մակերեսով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սենյակի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տեսողական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զննման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մեկ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կողմից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նախատեսվում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երկու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րոպե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Որոնողական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սկսելուն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պես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խմբի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ավագի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որոշմամբ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տեղադրվում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ռադիո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արգելափակող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քանի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հնարավոր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կարող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տեղադրված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լինի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շինության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տարածքում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կայանված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տրանսպորտային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մեջ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`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սովորական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ձեռքի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պայուսակում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վտանգավոր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որևիցե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անկյունում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գործողության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մեջ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դրվի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հեռակառավարման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Դրա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ծառայողների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ոստիկանության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աշխատակիցների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հետ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համատեղ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ստուգվում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բոլոր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տեսախցիկները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Կախված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իրավիճակից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մարդկանց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չպետք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մոտ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թողնել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վտանգավոր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` 50-ից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մինչև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500 մ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շառավղով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Եթե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անհրաժեշտություն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առաջանում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անջատել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հեռախոսագիծը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էլեկտրամատակարարումը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անպայման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համաձայնեցվում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շինության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օբյեկտի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ղեկավար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լիազոր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մարմնի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հետ),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քանի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կարող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կարևոր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նշանակության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կենսաապահովման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օբյեկտ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լինել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Հեռախոսագծերի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հոսանքի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անջատումը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համապատասխան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մասնագետի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կողմից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ոստիկանության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աշխատակցի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ներկայությամբ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Կասկածելի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առարկաների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պայուսակ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տուփ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փակ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պահարան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տեղաշարժման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բացման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անհնարինության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պահպանման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նկատառումներից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ելնելով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անհրաժեշտ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օգտագործել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ռենտգենահեռուստատեսային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Որոնողական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ընթացքում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վայրում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պարտադիր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հրշեջների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շտապօգնության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աշխատողների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գազաֆիկացման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ջեռուցման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էլեկտրացանցի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մասնագետների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ներկայությունը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Հետագա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ճիշտ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որոշում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կայացնելու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նպատակով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հավաքվում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հատուկ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մասնագետներ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պայթեցնողներ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քրեագետներ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),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կացնում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խորհրդակցություն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քննարկում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տարբեր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ձևեր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եղանակներ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կախված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իրադրությունից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վայրում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համագործակցությունը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ճիշտ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արդյունավետ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որոշումների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կայացմանը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նախապես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հնարավոր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պայթյունը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կանխելուն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պայթյունի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հնարավոր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վնասները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նվազեցնելուն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վնասազերծմանը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վտանգավոր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տարածքից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մարդկանց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տարահանմանը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603314C2" w14:textId="77777777" w:rsidR="00A5353E" w:rsidRPr="00A5353E" w:rsidRDefault="00A5353E" w:rsidP="00A5353E">
      <w:pPr>
        <w:shd w:val="clear" w:color="auto" w:fill="FFFFFF"/>
        <w:spacing w:after="0" w:line="240" w:lineRule="auto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22B0381C" w14:textId="77777777" w:rsidR="00A5353E" w:rsidRPr="00A5353E" w:rsidRDefault="00A5353E" w:rsidP="00A5353E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ԳԼՈՒԽ IV. ԻՆԺԵՆԵՐԱԿԱՆ ՀԵՏԱԽՈՒԶՈՒԹՅԱՆ ԻՐԱԿԱՆԱՑՈՒՄԸ</w:t>
      </w:r>
    </w:p>
    <w:p w14:paraId="5D6557A5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13E04E1A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12.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հետախուզությունը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միջոցառումների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համալիր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անցկացվում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ականապայթյունային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արգելափակոցների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անցումների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արգելքները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շրջանցող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ուղիների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lastRenderedPageBreak/>
        <w:t>ճանապարհների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փլվածքների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փլուզումների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հրդեհների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ծավալի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մասին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տվյալներ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հայթայթելու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նպատակով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1F210A46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13.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հետախուզությամբ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որոշվում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է`</w:t>
      </w:r>
    </w:p>
    <w:p w14:paraId="5193D634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ականապայթյունային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արգելափակոցներում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անցումներ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պատրաստելու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արգելքները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շրջանցող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ուղիները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կահավորելու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եղանակները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արգելափակոցների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ճանապարհների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պատրաստման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ուղիները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եղանակները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բացահայտում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փլվածքների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փլուզումների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հրդեհների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ծավալը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որոշում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դրանց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հաղթահարման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շրջանցման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ուղիները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2F8D5A44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2)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նյութերի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տեղակայման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արգելափակումների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ավերվածությունների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տիպը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բնույթը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հատուկ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ուշադրություն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դարձվում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միջուկային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ականապայթյունային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արգելափակոցների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հայտնաբերմանը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հրդեհների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միջուկային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պայթյունից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առաջացած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ավերածությունների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փլվածքների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բնույթը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շարքից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դուրս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եկած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ճանապարհների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հատվածների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ֆորտիֆիկացիոն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կառույցների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բնույթը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վնասվածքների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չափը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ճանապարհների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անցումների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վիճակը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ռադիոակտիվ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քիմիական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թունավորման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գոտիների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հաղթահարման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առավել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հարմար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ուղղությունները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5CCCA038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3)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ջրի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աղբյուրների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գտնվող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շինանյութերի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վիճակն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առկայությունը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312B630E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14.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հետախուզությունը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հետախուզության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անմիջական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խմբով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ժամանակ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երբ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հնարավոր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մոտենալ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հետախուզվող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օբյեկտին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մանրակրկիտ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ուսումնասիրել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հետազոտել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անհրաժեշտ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չափումներ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ուսումնասիրություններ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եղանակով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ստացված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տվյալները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հանդիսանում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առավել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ճշգրիտ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եղանակը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հաճախ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օգտագործվում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ճանապարհների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արգելափակման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ջրային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խոչընդոտների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ծանծաղուտների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կամուրջների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ջրամատակարարման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կետերի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սարքավորման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շրջանների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շինանյութերի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կուտակման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հետախուզման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հետախուզության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խմբի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գործողությունների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խորությունը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կախված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իրադրության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պայմաններից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դրված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խնդիրներից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տեղափոխման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կապի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հնարավորություններից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Առանձին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կարող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հետախուզվող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օբյեկտների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լուսանկարում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հետախուզության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ընթացքում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ձեռք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բերված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տվյալները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զեկուցվում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համապատասխան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ղեկավարներին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։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Շտապ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որոշման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ընդունում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պահանջող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տվյալները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զեկուցվում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անմիջապես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։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Հետախուզական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տվյալների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զեկուցումը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բանավոր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`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կապի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միջոցներով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գրավոր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`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զեկույցների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ձևով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հետախուզական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ամփոփագրերով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այլն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Հետախուզության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ընթացքում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ստացված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տվյալները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պետք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լինեն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ստույգ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իրականությանը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համապատասխան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)։</w:t>
      </w:r>
    </w:p>
    <w:p w14:paraId="6883DA56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255C15AC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ԳԼՈՒԽ V. ՊԱՅԹԵՑՄԱՆ ԳՈՐԾԸՆԹԱՑԸ</w:t>
      </w:r>
    </w:p>
    <w:p w14:paraId="58B827B2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2BD7CB0E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15.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Կախված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իրադրությունից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`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տարահանումը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տեղափոխման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նախատեսված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հատուկ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խցիկով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Եթե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որոշում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կայացվում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տեղափոխել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ապա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տեղափոխվում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հատուկ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նախատեսված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տրանսպորտային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ուղեկցող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մեքենայով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հայտնաբերելու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կարող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օգտագործել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լայն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գտած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«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ռոբոտ-սակրավոր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»: «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Ռոբոտ-սակրավորի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»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օգնությամբ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կարող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առավել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հետախուզում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վնասազերծում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ինչպես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նաև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պայթեցում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ելնելով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տվյալ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իրավիճակից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կոնկրետ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գործողության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վնասազերծման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ժամանակ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ծանր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պաշտպանիչ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հագուստ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սարքին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մոտենում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միայն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մեկ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պաշտպանիչ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համազգեստով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1095A770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16.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ստորաբաժանումների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կողմից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ժամանակ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ստորաբաժանման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հրամանատարը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պարտավոր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որպես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հրահանգիչ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նշանակել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ջոկատի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որևէ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սպայի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`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նրան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հանձնարարելով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անձնակազմի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պատրաստության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ստուգումը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պայթեցման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ընթացքում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միջոցառումների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կազմակերպումը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Ինժեներասակրավորական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նշանակված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ստորաբաժանման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անձնակազմը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պետք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իմանա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դրանց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կանոնները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նախազգուշական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միջոցառումները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իսկ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ինժեներասակրավորային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ղեկավարը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պարտավոր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ստուգել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միջոցառումների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կանոնների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վերաբերյալ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անձնակազմի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գիտելիքները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ըստ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ցուցակի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ընդունել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ստուգարքներ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պարբերաբար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վերահսկել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ընթացքում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միջոցառումների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միջոցառումներին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չտիրապետող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սակրավորներին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չթույլատրել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մասնակցելու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ինժեներասակրավորական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584534E0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17.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Ինժեներասակրավորական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նախապատրաստվելիս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մշակվում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կատարողներին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հասցվում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ինժեներասակրավորային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անցկացնելու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մասին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համապատասխան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պետի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հրամանը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Հրամանում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ներառվում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է`</w:t>
      </w:r>
    </w:p>
    <w:p w14:paraId="720A5043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lastRenderedPageBreak/>
        <w:t xml:space="preserve">1)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ինժեներասակրավորային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կրակի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նմանակման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պարապմունքների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ղեկավարի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տվյալները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10B600D8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2)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շրջափակող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ջոկատի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պետի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տվյալները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պահակակետերի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թվաքանակը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դրանց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տեղաբաշխման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վայրերը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կապի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ազդանշանների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համակարգը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314B2487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3)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ինժեներասակրավորային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ծավալները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2AC52284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4)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միջոցառումները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67C9E2C4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5)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ինժեներասակրավորային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գույքի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ստացման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տեղափոխման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դաշտային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պայմաններում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պահպանման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հանձնման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մասին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կետեր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470D579D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6)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բուժապահովման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կազմակերպման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մասին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կետ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65E6F6C7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18.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Ինժեներասակրավորային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տեղանքին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համապատասխան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մշակվում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միջոցառումների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կազմակերպման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ուրվագիծը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որտեղ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նշվում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է.</w:t>
      </w:r>
    </w:p>
    <w:p w14:paraId="68961AD7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շրջափակող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ջոկատի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պահակակետերը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դրանց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հետ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կապի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կազմակերպումը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61908F2F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2)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պայթեցման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դաշտերը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դրանց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նախապատրաստումը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01D1D931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3)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պայթեցման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կառավարման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կետերի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բնագծերը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6A85DB7B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4)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տվյալ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տեղանքի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պայմաններում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հեռավորությունների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հաշվարկները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2C41DDBF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5)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ղեկավարման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ազդանշանները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նահանջի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ուղիները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75E4AD9E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6)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պայթեցման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արդյունքների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ստուգումը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60E5804E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7)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նյութերի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հրատեխնիկական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դաշտային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պահեստի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տեղակայման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վայրը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5F781E8E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8)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զինամթերքի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կետը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1E390ED8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9)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պայթեցման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նշանակված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ստորաբաժանումների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`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հաշվարկների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բաժանումը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`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յուրաքանչյուրին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հանձնարարելով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մեկ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գործողություն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0DFB4578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19.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Պայթեցման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շրջանում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հետախուզում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ընթացքում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որոշվում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է.</w:t>
      </w:r>
    </w:p>
    <w:p w14:paraId="7BA4CDA1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նյութերի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պայթեցման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ուսումնասիրման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հրապարակները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7C718CCD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2)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լիցքերի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կապի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ցանցերի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պատրաստման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հրապարակները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2B33834B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3)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դիտարկման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հրապարակները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7240A098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4)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պայթյունի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ժամանակ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անձնակազմի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թաքստոցները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345DEAF2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5)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եթե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պայթեցման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զինված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ուժերի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տեղակայման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դիրքերին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մոտ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ապա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հաշվարկվում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օբյեկտների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շինությունների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զինված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ուժերի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տեղակայման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դիրքերի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միջև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եղած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տարածությունը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120B05FB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4BF12D46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ԳԼՈՒԽ VI. ԱՀԱԲԵԿՉՈՒԹՅԱՆ ԴԵՊՔՈՒՄ ՀԵՏԵՎԱՆՔՆԵՐԻ ՎԵՐԱՑՈՒՄԸ</w:t>
      </w:r>
    </w:p>
    <w:p w14:paraId="7E62AE04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2ABADC9F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20.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Ահաբեկչության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հետևանքների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վերացումը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բաղկացած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հետևյալ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միջոցառումներից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`</w:t>
      </w:r>
    </w:p>
    <w:p w14:paraId="5DAE7B54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բնակավայրերում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շենք-շինություններում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օբյեկտներում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աղետի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գոտիներում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փլատակներում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հետախուզական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որոնողափրկարարական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աշխատանքների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կազմակերպումը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վտանգավոր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գոտում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հայտնված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մարդկանց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տարհանումը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09BE2EDE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2)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տուժածների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հայտնաբերումը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նախաբժշկական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օգնության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կազմակերպումը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6018BCF5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3)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խաղաղ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բնակչությանը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վտանգավոր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ականապատ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տարածքներում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առարկաների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նյութերի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հնարավոր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պայթյունի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հետևանքներից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զերծ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պահելը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3015F9B1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4)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չպայթեցված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արկերի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զինամթերքի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պայթուցիկ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նյութերի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հայտնաբերումը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վնասազերծումը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պայթեցումն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ոչնչացումը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5618CA59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5)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բնակչության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ուսուցումը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` «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Ականապատված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տարածքներում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հայտնվելիս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ականներ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հայտնաբերելիս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տեխնիկայի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ապահովման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կանոնները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»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թեմայով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1017AA60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76EFE9E2" w14:textId="77777777" w:rsidR="00A5353E" w:rsidRPr="00A5353E" w:rsidRDefault="00A5353E" w:rsidP="00A5353E">
      <w:pPr>
        <w:shd w:val="clear" w:color="auto" w:fill="FFFFFF"/>
        <w:spacing w:after="0" w:line="240" w:lineRule="auto"/>
        <w:jc w:val="center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b/>
          <w:bCs/>
          <w:color w:val="000000"/>
          <w:sz w:val="21"/>
          <w:szCs w:val="21"/>
          <w:lang w:eastAsia="ru-RU"/>
        </w:rPr>
        <w:t>ԳԼՈՒԽ VII. ԱՆՎՏԱՆԳՈՒԹՅԱՆ ՏԵԽՆԻԿԱՅԻ ՊԱՀՊԱՆՄԱՆ ԿԱՆՈՆՆԵՐԸ ԵՎ ԱՆՁՆԱԿԱԶՄԻ ՀՐԱՀԱՆԳԱՎՈՐՄԱՆ ԻՐԱԿԱՆԱՑՈՒՄԸ</w:t>
      </w:r>
    </w:p>
    <w:p w14:paraId="6CEC681A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14:paraId="4462A7F4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21.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Ջոկատի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խմբի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հրամանատարը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ապահովման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կազմակերպման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ժամանակ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ղեկավարվում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հետևյալ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սկզբունքներով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17D214E2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1)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օրինականության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խստորեն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պահպանում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.</w:t>
      </w:r>
    </w:p>
    <w:p w14:paraId="7177E263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2)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հրամանատարի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անձնական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պատասխանատվություն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՝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ընդունած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որոշումների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ենթակաների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խնդիրների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արդյունքների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կառավարման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կենտրոնացում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ենթականերին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առաջադրված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խնդիրների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եղանակների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որոշմամբ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ընդունած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որոշումների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պլանների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վճռականություն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հաստատակամություն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կառավարման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օպերատիվություն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ճկունություն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1F34EA53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lastRenderedPageBreak/>
        <w:t xml:space="preserve">22.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Ամենօրյա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գործունեության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ընթացքում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փրկարարական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ծառայողների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նախապատրաստումն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պահանջների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կատարմանը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կազմակերպվում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դրանց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կազմակերպչահաստիքային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նշանակությանը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համապատասխան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Նախապատրաստման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նպատակը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յուրաքանչյուր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փրկարար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ծառայողի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մասնագիտական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պատրաստության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այնպիսի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մակարդակի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ապահովումն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նրան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հնարավորություն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կտա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պարտականությունների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գործընթացում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բացառելու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նվազեցնելու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փրկարար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ծառայության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վտանգավոր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վնասակար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գործոնների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բացասական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ազդեցությունը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դրա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հիման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վրա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առաջադրված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խնդիրները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կանխել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խեղումները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վիրավորումները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վնասվածքները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)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դժբախտ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պատահարներ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Փրկարար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ծառայության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ապահովման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հարցերին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վերաբերվող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ղեկավար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փաստաթղթերի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պահանջների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թերությունների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բացահայտելու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խմբի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ավագը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որոշում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ընդունում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ձեռնարկում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դրանք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վերացնելու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նպատակով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ինչի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վերաբերյալ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զեկուցվում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արդյունքներն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ամփոփելիս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Արգելվում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չնախապատրաստված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անձնակազմով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ինչպես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նաև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անսարք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տեխնիկայով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սկսել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խնդրի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ուսումնական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պարապմունքներն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Բացահայտված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թերությունների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վերացումը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պարտադիր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ստուգում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խմբի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սպաները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կանոնների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ուսուցումը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կազմակերպվում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պարբերակված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դիֆերենցված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)՝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նկատի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առնելով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զբաղեցրած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պաշտոնները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որակավորման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պահանջները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կատարվող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խնդիրները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վարժությունները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),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սպառազինության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տեխնիկայի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շահագործման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պայմաններն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առանձնահատկությունները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ուսուցման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ծրագրերը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ուսումնական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մարտական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պատրաստության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պլանները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պարապմունքների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անցկացման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ինչպես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նաև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պահանջների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վերաբերյալ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նրանց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տեսական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գիտելիքների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գործնական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հմտությունների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ստուգումների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4C0E3D74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23.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Հրահանգավորման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նպատակներն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`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իրազեկել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փրկարարական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ծառայողներին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փրկարար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ծառայության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պայմանների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վերաբերյալ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խնդիրները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վարժությունները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աշխատանքները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կատարելիս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փրկարարական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ծառայողների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վրա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ազդող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վտանգավոր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գործոնների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բնույթի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առանձնահատկությունների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պարզաբանումը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դրանց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կատարմանը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վիրավորումների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դժբախտ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կանխման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միջոցները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պարապմունքներից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ծառայողական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գործունեության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այլ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միջոցառումներից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առաջ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պահանջների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պարզաբանումը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խնդիրների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վերաբերյալ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նախկինում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ստացած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գիտելիքների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ձեռք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բերած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գործնական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հմտությունների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ամրապնդումը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կանոնների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խախտման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դրանց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հետևանքների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վերաբերյալ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տեղեկությունների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օպերատիվ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հաղորդումը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սահմանված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պահանջների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փրկարար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ծառայության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ծառայությունից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ազատ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ժամանակ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հիվանդությունների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վնասվածքների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կանխման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նկատմամբ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յուրաքանչյուր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փրկարարական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ծառայողի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պատասխանատու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գիտակցված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վերաբերմունքի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ձևավորումը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59587A09" w14:textId="77777777" w:rsidR="00A5353E" w:rsidRPr="00A5353E" w:rsidRDefault="00A5353E" w:rsidP="00A5353E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24.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պահանջների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վերաբերյալ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նպատակային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հրահանգավորումն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իրականացվում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է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վտանգավոր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օբյեկտներում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պաշտոնական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պարտականություններին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չառնչվող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առավել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վտանգավոր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մեկանգամյա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ոչ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մշտական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) աշխատանքների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կատարելուց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առաջ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մարտական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հերթապահության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անցնելուց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առաջ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ծառայողների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բնական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տեխնիկական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բնույթի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արտակարգ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իրավիճակների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հետևանքների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վերացմանը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ներգրավելու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դեպքում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մեքենաների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ավագների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վարորդների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հետ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մարդկանց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պայթյունավտանգ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բեռներ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փոխադրելուց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առաջ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ավագ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հրամանատարների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պետերի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ցուցումով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բարձրաստիճան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հրամանատարի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որոշմամբ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: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Ստորաբաժանումների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(ջոկատների)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պաշտոնատար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անձինք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անձնակազմի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ծառայության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կազմակերպման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ղեկավարման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փրկարար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ծառայության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անվտանգության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ապահովման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միջոցառումներն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իրականացնում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են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օրենքների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համազորային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կանոնադրությունների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հրամանների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ու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դիրեկտիվների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հրահանգների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պահանջներին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պաշտոնական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և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մասնագիտական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պարտականություններին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համապատասխան</w:t>
      </w:r>
      <w:proofErr w:type="spellEnd"/>
      <w:r w:rsidRPr="00A5353E"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  <w:t>:</w:t>
      </w:r>
    </w:p>
    <w:p w14:paraId="6500731F" w14:textId="77777777" w:rsidR="00A5353E" w:rsidRDefault="00A5353E"/>
    <w:sectPr w:rsidR="00A53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E10"/>
    <w:rsid w:val="009A19FF"/>
    <w:rsid w:val="00A5353E"/>
    <w:rsid w:val="00AA1E10"/>
    <w:rsid w:val="00B3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D4E59"/>
  <w15:chartTrackingRefBased/>
  <w15:docId w15:val="{C23406DF-44A9-444D-898C-48CD389AB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4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2948</Words>
  <Characters>16806</Characters>
  <Application>Microsoft Office Word</Application>
  <DocSecurity>0</DocSecurity>
  <Lines>140</Lines>
  <Paragraphs>39</Paragraphs>
  <ScaleCrop>false</ScaleCrop>
  <Company/>
  <LinksUpToDate>false</LinksUpToDate>
  <CharactersWithSpaces>19715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2023-01-25T11:44:00Z</dcterms:created>
  <dcterms:modified xsi:type="dcterms:W3CDTF">2023-01-25T11:44:00Z</dcterms:modified>
</cp:coreProperties>
</file>