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C803E33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օրենսդրության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765A88D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Hlk166577065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20008D5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</w:t>
      </w:r>
      <w:proofErr w:type="spellStart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ենթարկման</w:t>
      </w:r>
      <w:proofErr w:type="spellEnd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65FA486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ենթակա պետական մարմինների ստորաբաժանումների կողմից մշակված ներքին (լոկալ) իրավական ակտերի նախագծերի վերաբերյալ իրավական դիրքորոշման ներկայացման աշխատանքներ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E379E04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այլ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</w:t>
      </w:r>
      <w:proofErr w:type="spellStart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ենթարկման</w:t>
      </w:r>
      <w:proofErr w:type="spellEnd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6B5EAAD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իրավասությանը վերապահված բնագավառներում կնքվող միջազգային պայմանագրերի նախագծերի մշակման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BF8C5EA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աշխատանքներին.</w:t>
      </w:r>
    </w:p>
    <w:p w14:paraId="21CD7E66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նախանիստերի</w:t>
      </w:r>
      <w:proofErr w:type="spellEnd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նախարարական կոմիտեների և Հայաստանի Հանրապետության կառավարության նիստերի, ինչպես նաև Հայաստանի Հանրապետության Ազգային ժողովի նիստերի </w:t>
      </w:r>
      <w:proofErr w:type="spellStart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օրակարգերի</w:t>
      </w:r>
      <w:proofErr w:type="spellEnd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ուսումնասիրության, ինչպես նաև անհրաժեշտ նյութերի նախապատրաստման աշխատանքները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376C11B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14:paraId="5DDB0F89" w14:textId="77777777" w:rsidR="00F35B15" w:rsidRPr="00936BAA" w:rsidRDefault="00F35B15" w:rsidP="00F35B15">
      <w:pPr>
        <w:numPr>
          <w:ilvl w:val="0"/>
          <w:numId w:val="17"/>
        </w:numPr>
        <w:tabs>
          <w:tab w:val="clear" w:pos="720"/>
        </w:tabs>
        <w:spacing w:before="100" w:beforeAutospacing="1"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և նրան ենթակա պետական մարմինների ոլորտին առնչվող օրենսդրության հետ կապված սեմինարներին, </w:t>
      </w:r>
      <w:proofErr w:type="spellStart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խորհրդաժողովներին</w:t>
      </w:r>
      <w:proofErr w:type="spellEnd"/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այլ միջոցառումներին համապատասխան ներկայացուցիչների մասնակցության հետ կապված աշխատանքներին։</w:t>
      </w:r>
    </w:p>
    <w:bookmarkEnd w:id="0"/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75164E89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21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31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proofErr w:type="spellEnd"/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հարյուր տասն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FAF5463" w14:textId="77777777" w:rsidR="00EB0924" w:rsidRDefault="00EB0924" w:rsidP="00EB0924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4453B73" w14:textId="2F858114" w:rsidR="00EB0924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066A51" w14:textId="695A1881" w:rsidR="00EB0924" w:rsidRPr="002E3288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4298076" w14:textId="631B16CA" w:rsidR="00EB0924" w:rsidRPr="00D34800" w:rsidRDefault="00EB0924" w:rsidP="00EB0924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0E4D3183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05342E" w:rsidRPr="000534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h</w:t>
      </w:r>
      <w:r w:rsidR="000534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ուն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proofErr w:type="spellEnd"/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05342E" w:rsidRPr="000534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F601DC">
        <w:fldChar w:fldCharType="begin"/>
      </w:r>
      <w:r w:rsidR="00F601DC" w:rsidRPr="00F27025">
        <w:rPr>
          <w:lang w:val="hy-AM"/>
        </w:rPr>
        <w:instrText xml:space="preserve"> HYPERLINK "https://www.mineconomy.am/media/21755/hayt-1.docx" </w:instrText>
      </w:r>
      <w:r w:rsidR="00F601DC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F601DC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5342E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131</cp:revision>
  <cp:lastPrinted>2023-12-22T11:31:00Z</cp:lastPrinted>
  <dcterms:created xsi:type="dcterms:W3CDTF">2023-11-15T05:33:00Z</dcterms:created>
  <dcterms:modified xsi:type="dcterms:W3CDTF">2024-06-21T11:14:00Z</dcterms:modified>
</cp:coreProperties>
</file>