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</w:pPr>
    </w:p>
    <w:p w14:paraId="2AC8C52A" w14:textId="77777777" w:rsidR="007E3E14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                                   </w:t>
      </w:r>
    </w:p>
    <w:p w14:paraId="6AFE5A70" w14:textId="4FA97A67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ՀԱՅՏԱՐԱՐՈՒԹՅՈՒՆ</w:t>
      </w:r>
    </w:p>
    <w:p w14:paraId="33C993C4" w14:textId="77777777" w:rsidR="00527860" w:rsidRPr="00555AFB" w:rsidRDefault="00527860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51196BAD" w14:textId="3617A20E" w:rsidR="00E43115" w:rsidRPr="00EB2493" w:rsidRDefault="007E3E14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ՀՀ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ներքին գործերի նախարարության </w:t>
      </w:r>
      <w:r w:rsidR="00B36BF6" w:rsidRPr="00B36BF6">
        <w:rPr>
          <w:rFonts w:ascii="GHEA Grapalat" w:hAnsi="GHEA Grapalat"/>
          <w:b/>
          <w:bCs/>
          <w:sz w:val="24"/>
          <w:szCs w:val="24"/>
          <w:lang w:val="hy-AM"/>
        </w:rPr>
        <w:t>ֆինանսաբյուջետային վարչության  հաշվարկային  բաժնի ավագ մասնագետ</w:t>
      </w:r>
      <w:r w:rsidR="00B36BF6" w:rsidRPr="00B36BF6">
        <w:rPr>
          <w:rFonts w:ascii="GHEA Grapalat" w:hAnsi="GHEA Grapalat"/>
          <w:b/>
          <w:bCs/>
          <w:sz w:val="24"/>
          <w:szCs w:val="24"/>
          <w:lang w:val="hy-AM"/>
        </w:rPr>
        <w:t>ի</w:t>
      </w:r>
      <w:r w:rsidR="00B36B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ժամանակավոր</w:t>
      </w:r>
      <w:r w:rsidRPr="00EB2493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թափուր</w:t>
      </w:r>
      <w:r w:rsidRPr="00EB2493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պաշտոն</w:t>
      </w:r>
      <w:r w:rsidR="007C7B55"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</w:t>
      </w:r>
      <w:r w:rsidRPr="00EB2493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զբաղեցնելու</w:t>
      </w:r>
    </w:p>
    <w:p w14:paraId="56F9C067" w14:textId="77777777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</w:pPr>
    </w:p>
    <w:p w14:paraId="0DF0F146" w14:textId="04981F54" w:rsidR="00B36BF6" w:rsidRDefault="007E3E14" w:rsidP="00E4311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57076956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 xml:space="preserve">ՀՀ ՆԳՆ </w:t>
      </w:r>
      <w:r w:rsidR="00B36BF6">
        <w:rPr>
          <w:rFonts w:ascii="GHEA Grapalat" w:hAnsi="GHEA Grapalat"/>
          <w:sz w:val="24"/>
          <w:szCs w:val="24"/>
          <w:lang w:val="hy-AM"/>
        </w:rPr>
        <w:t>ֆ</w:t>
      </w:r>
      <w:r w:rsidR="00B36BF6">
        <w:rPr>
          <w:rFonts w:ascii="GHEA Grapalat" w:hAnsi="GHEA Grapalat"/>
          <w:sz w:val="24"/>
          <w:szCs w:val="24"/>
          <w:lang w:val="hy-AM"/>
        </w:rPr>
        <w:t>ինանսաբյուջետային վարչության  հաշվարկային  բաժնի ավագ մասնագետ (ծածկագիր՝ 27-34</w:t>
      </w:r>
      <w:r w:rsidR="00B36BF6">
        <w:rPr>
          <w:rFonts w:ascii="Cambria Math" w:hAnsi="Cambria Math" w:cs="Cambria Math"/>
          <w:sz w:val="24"/>
          <w:szCs w:val="24"/>
          <w:lang w:val="hy-AM"/>
        </w:rPr>
        <w:t>․</w:t>
      </w:r>
      <w:r w:rsidR="00B36BF6">
        <w:rPr>
          <w:rFonts w:ascii="GHEA Grapalat" w:hAnsi="GHEA Grapalat"/>
          <w:sz w:val="24"/>
          <w:szCs w:val="24"/>
          <w:lang w:val="hy-AM"/>
        </w:rPr>
        <w:t>4-Մ3-11)</w:t>
      </w:r>
    </w:p>
    <w:p w14:paraId="24C65F55" w14:textId="3485D95F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CE607A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Հիմնական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գործառույթների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համառոտ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նկարագիրը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</w:p>
    <w:p w14:paraId="2C2C729D" w14:textId="298B9DC0" w:rsidR="00E7563E" w:rsidRPr="00E7563E" w:rsidRDefault="00E7563E" w:rsidP="00F8782C">
      <w:pPr>
        <w:pStyle w:val="ListParagraph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E7563E">
        <w:rPr>
          <w:rFonts w:ascii="GHEA Grapalat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ծառայողների (աշխատողների) աշխատավարձի</w:t>
      </w:r>
      <w:r w:rsidR="003F153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E7563E">
        <w:rPr>
          <w:rFonts w:ascii="GHEA Grapalat" w:hAnsi="GHEA Grapalat" w:cs="Times New Roman"/>
          <w:color w:val="000000"/>
          <w:sz w:val="24"/>
          <w:szCs w:val="24"/>
          <w:lang w:val="hy-AM"/>
        </w:rPr>
        <w:t>անհատական քարտերի թղթային և/կամ էլեկտրոնային եղանակով, այդ թվում՝ դեբիտորական և կրեդիտորական պարտքերի անալիտիկ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E7563E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հաշվառման վարման աշխատանքները. </w:t>
      </w:r>
    </w:p>
    <w:p w14:paraId="4035AE7A" w14:textId="5EFEB087" w:rsidR="00E7563E" w:rsidRPr="00F8782C" w:rsidRDefault="00E7563E" w:rsidP="00F8782C">
      <w:pPr>
        <w:pStyle w:val="ListParagraph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ծառայողների (աշխատողների) տվյալների էլեկտրոնային</w:t>
      </w:r>
      <w:r w:rsid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եղանակով մուտքագրումը, գրանցումը, աշխատավարձի, </w:t>
      </w:r>
      <w:proofErr w:type="spellStart"/>
      <w:r w:rsidRP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>պարգևատրումների</w:t>
      </w:r>
      <w:proofErr w:type="spellEnd"/>
      <w:r w:rsidRP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>, այլ վճարումների տեղեկագրերի կազմումը, անհատական</w:t>
      </w:r>
      <w:r w:rsid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հաշվարկային թերթիկների (դրամական օգնություններ, անաշխատունակության նպաստներ, արձակուրդային վճարներ, կադրերի</w:t>
      </w:r>
      <w:r w:rsid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ռեզերվում գտնվող ծառայողների աշխատավարձ և այլն) հիմքով </w:t>
      </w:r>
      <w:proofErr w:type="spellStart"/>
      <w:r w:rsidRP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>վճարացուցակների</w:t>
      </w:r>
      <w:proofErr w:type="spellEnd"/>
      <w:r w:rsidRP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պատրաստումը և աշխատավարձի,</w:t>
      </w:r>
      <w:r w:rsid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>պարգևատրումների</w:t>
      </w:r>
      <w:proofErr w:type="spellEnd"/>
      <w:r w:rsidRPr="00F8782C">
        <w:rPr>
          <w:rFonts w:ascii="GHEA Grapalat" w:hAnsi="GHEA Grapalat" w:cs="Times New Roman"/>
          <w:color w:val="000000"/>
          <w:sz w:val="24"/>
          <w:szCs w:val="24"/>
          <w:lang w:val="hy-AM"/>
        </w:rPr>
        <w:t>, այլ վճարումների հաշվարկների տրամադրումը համապատասխան բաժնին՝ վճարման համար</w:t>
      </w:r>
      <w:r w:rsidRPr="00F8782C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6A50DAFA" w14:textId="3F669ACF" w:rsidR="00E7563E" w:rsidRPr="00C35871" w:rsidRDefault="00E7563E" w:rsidP="00F8782C">
      <w:pPr>
        <w:pStyle w:val="ListParagraph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C35871">
        <w:rPr>
          <w:rFonts w:ascii="GHEA Grapalat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ծառայողների (աշխատողների) սոցիալական փաթեթի</w:t>
      </w:r>
      <w:r w:rsidR="00C3587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C3587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գումարների հաշվարկումը, </w:t>
      </w:r>
      <w:proofErr w:type="spellStart"/>
      <w:r w:rsidRPr="00C35871">
        <w:rPr>
          <w:rFonts w:ascii="GHEA Grapalat" w:hAnsi="GHEA Grapalat" w:cs="Times New Roman"/>
          <w:color w:val="000000"/>
          <w:sz w:val="24"/>
          <w:szCs w:val="24"/>
          <w:lang w:val="hy-AM"/>
        </w:rPr>
        <w:t>վճարացուցակների</w:t>
      </w:r>
      <w:proofErr w:type="spellEnd"/>
      <w:r w:rsidRPr="00C3587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պատրաստումը և վճարումների գրանցումը</w:t>
      </w:r>
      <w:r w:rsidRPr="00C3587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C3587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3AED9ADD" w14:textId="77777777" w:rsidR="00E7563E" w:rsidRPr="00E7563E" w:rsidRDefault="00E7563E" w:rsidP="00F8782C">
      <w:pPr>
        <w:pStyle w:val="ListParagraph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հաշվարկների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անալիտիկ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հաշվառումը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այդ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հաշվարկների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շարժի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մնացորդների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ամփոփման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մեմորյալ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օրդերներիկազմմանը</w:t>
      </w:r>
      <w:proofErr w:type="spellEnd"/>
      <w:r w:rsidRPr="00E7563E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485AD54B" w14:textId="77777777" w:rsidR="00E7563E" w:rsidRPr="00E7563E" w:rsidRDefault="00E7563E" w:rsidP="00F8782C">
      <w:pPr>
        <w:pStyle w:val="ListParagraph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նրան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ենթակա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պետական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մարմինների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ստորաբաժանումների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կողմիցներկայացված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«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Աշխատողների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աշխատաժամանակի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հաշվարկի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տեղեկագրերի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հաշվառմանը</w:t>
      </w:r>
      <w:proofErr w:type="spellEnd"/>
      <w:r w:rsidRPr="00E7563E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5FB5833F" w14:textId="37C7588F" w:rsidR="00E7563E" w:rsidRPr="00E7563E" w:rsidRDefault="00E7563E" w:rsidP="00F8782C">
      <w:pPr>
        <w:pStyle w:val="ListParagraph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նրան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ենթակա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պետական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մարմինների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ծառայողներին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աշխատողներին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)`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աշխատավարձի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չափի</w:t>
      </w:r>
      <w:proofErr w:type="spellEnd"/>
      <w:r w:rsidR="003F153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վերաբերյալ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տեղեկանքների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կազմմանը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51790265" w14:textId="77777777" w:rsidR="00E7563E" w:rsidRPr="00E7563E" w:rsidRDefault="00E7563E" w:rsidP="00F8782C">
      <w:pPr>
        <w:pStyle w:val="ListParagraph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եկամտային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հարկի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սոցիալական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վճարի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ամսական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ամփոփ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հաշվետվության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հարկային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մարմնին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ներկայացնելուաշխատանքներին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2A5DB5DC" w14:textId="759D2B1B" w:rsidR="00E7563E" w:rsidRPr="00E7563E" w:rsidRDefault="00E7563E" w:rsidP="00F8782C">
      <w:pPr>
        <w:pStyle w:val="ListParagraph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Հարկադիր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կատարումն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ապահովող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ծառայությունից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ստացված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որոշումների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հիման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վրա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քաղաքական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>,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հայեցողական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պաշտոններ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զբաղեցնող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անձանց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ստորաբաժանումների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Նախարարությանը</w:t>
      </w:r>
      <w:proofErr w:type="spellEnd"/>
      <w:r w:rsidR="003F153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ենթակա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պետական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մարմինների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ծառայողների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աշխատողների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աշխատավարձից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պահվող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գումարների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հաշվարկման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 w:cs="Times New Roman"/>
          <w:color w:val="000000"/>
          <w:sz w:val="24"/>
          <w:szCs w:val="24"/>
        </w:rPr>
        <w:t>գործընթացին</w:t>
      </w:r>
      <w:proofErr w:type="spellEnd"/>
      <w:r w:rsidRPr="00E7563E">
        <w:rPr>
          <w:rFonts w:ascii="GHEA Grapalat" w:hAnsi="GHEA Grapalat" w:cs="Times New Roman"/>
          <w:color w:val="000000"/>
          <w:sz w:val="24"/>
          <w:szCs w:val="24"/>
        </w:rPr>
        <w:t>.</w:t>
      </w:r>
    </w:p>
    <w:p w14:paraId="66F53C6F" w14:textId="77777777" w:rsidR="00E7563E" w:rsidRPr="00E7563E" w:rsidRDefault="00E7563E" w:rsidP="00E7563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HEA Grapalat" w:hAnsi="GHEA Grapalat" w:cs="Times New Roman"/>
          <w:color w:val="000000"/>
          <w:sz w:val="24"/>
          <w:szCs w:val="24"/>
        </w:rPr>
      </w:pPr>
    </w:p>
    <w:p w14:paraId="4063F315" w14:textId="13196E24" w:rsidR="007E3E14" w:rsidRDefault="007E3E14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՝</w:t>
      </w:r>
    </w:p>
    <w:p w14:paraId="51A3185E" w14:textId="77777777" w:rsidR="00E7563E" w:rsidRDefault="00E7563E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17BB0155" w14:textId="62B59690" w:rsidR="00E7563E" w:rsidRPr="00E7563E" w:rsidRDefault="00E7563E" w:rsidP="00E756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proofErr w:type="spellStart"/>
      <w:r w:rsidRPr="00E7563E">
        <w:rPr>
          <w:rFonts w:ascii="GHEA Grapalat" w:hAnsi="GHEA Grapalat"/>
          <w:sz w:val="24"/>
          <w:szCs w:val="24"/>
        </w:rPr>
        <w:t>Կրթություն</w:t>
      </w:r>
      <w:proofErr w:type="spellEnd"/>
      <w:r w:rsidRPr="00E7563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7563E">
        <w:rPr>
          <w:rFonts w:ascii="GHEA Grapalat" w:hAnsi="GHEA Grapalat"/>
          <w:sz w:val="24"/>
          <w:szCs w:val="24"/>
        </w:rPr>
        <w:t>որակավորման</w:t>
      </w:r>
      <w:proofErr w:type="spellEnd"/>
      <w:r w:rsidRPr="00E756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/>
          <w:sz w:val="24"/>
          <w:szCs w:val="24"/>
        </w:rPr>
        <w:t>աստիճանը</w:t>
      </w:r>
      <w:proofErr w:type="spellEnd"/>
    </w:p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60"/>
        <w:gridCol w:w="1417"/>
        <w:gridCol w:w="1134"/>
        <w:gridCol w:w="1276"/>
        <w:gridCol w:w="1134"/>
        <w:gridCol w:w="1134"/>
        <w:gridCol w:w="1559"/>
      </w:tblGrid>
      <w:tr w:rsidR="00E7563E" w:rsidRPr="00E7563E" w14:paraId="54FA7813" w14:textId="77777777" w:rsidTr="00E7563E">
        <w:tc>
          <w:tcPr>
            <w:tcW w:w="426" w:type="dxa"/>
          </w:tcPr>
          <w:p w14:paraId="52E6C262" w14:textId="77777777" w:rsidR="00E7563E" w:rsidRPr="00221908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21908">
              <w:rPr>
                <w:rFonts w:ascii="GHEA Grapalat" w:hAnsi="GHEA Grapalat"/>
                <w:sz w:val="20"/>
                <w:szCs w:val="20"/>
              </w:rPr>
              <w:lastRenderedPageBreak/>
              <w:t>1.</w:t>
            </w:r>
          </w:p>
        </w:tc>
        <w:tc>
          <w:tcPr>
            <w:tcW w:w="1134" w:type="dxa"/>
          </w:tcPr>
          <w:p w14:paraId="79BC1352" w14:textId="77777777" w:rsidR="00E7563E" w:rsidRPr="00221908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</w:pPr>
            <w:r w:rsidRPr="0022190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  <w:t>Ուղղու</w:t>
            </w:r>
          </w:p>
          <w:p w14:paraId="3F3E3C4E" w14:textId="77777777" w:rsidR="00E7563E" w:rsidRPr="00221908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2190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  <w:t>թյուն</w:t>
            </w:r>
          </w:p>
        </w:tc>
        <w:tc>
          <w:tcPr>
            <w:tcW w:w="1560" w:type="dxa"/>
          </w:tcPr>
          <w:p w14:paraId="519C5E91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Սոցիալական գիտություններ, լրագրություն </w:t>
            </w:r>
          </w:p>
          <w:p w14:paraId="76E4BF88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և տեղեկատվական գիտություններ</w:t>
            </w:r>
          </w:p>
        </w:tc>
        <w:tc>
          <w:tcPr>
            <w:tcW w:w="3827" w:type="dxa"/>
            <w:gridSpan w:val="3"/>
          </w:tcPr>
          <w:p w14:paraId="4094C2F6" w14:textId="77777777" w:rsidR="00E7563E" w:rsidRPr="00E7563E" w:rsidRDefault="00E7563E" w:rsidP="008C65A7">
            <w:pPr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 Գործարարություն, </w:t>
            </w: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Վարչարա</w:t>
            </w:r>
            <w:proofErr w:type="spellEnd"/>
          </w:p>
          <w:p w14:paraId="26082944" w14:textId="77777777" w:rsidR="00E7563E" w:rsidRPr="00E7563E" w:rsidRDefault="00E7563E" w:rsidP="008C65A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րություն</w:t>
            </w:r>
            <w:proofErr w:type="spellEnd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 և իրավունք</w:t>
            </w:r>
          </w:p>
        </w:tc>
        <w:tc>
          <w:tcPr>
            <w:tcW w:w="3827" w:type="dxa"/>
            <w:gridSpan w:val="3"/>
          </w:tcPr>
          <w:p w14:paraId="2223DDA3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563E">
              <w:rPr>
                <w:rFonts w:ascii="GHEA Grapalat" w:hAnsi="GHEA Grapalat"/>
                <w:bCs/>
                <w:color w:val="000000"/>
                <w:sz w:val="16"/>
                <w:szCs w:val="16"/>
                <w:lang w:val="hy-AM" w:eastAsia="en-GB"/>
              </w:rPr>
              <w:t xml:space="preserve"> Բնական գիտություններ, մաթեմատիկա և վիճակագրություն</w:t>
            </w:r>
          </w:p>
        </w:tc>
      </w:tr>
      <w:tr w:rsidR="00E7563E" w:rsidRPr="00C32A4E" w14:paraId="1BEA04EE" w14:textId="77777777" w:rsidTr="00E7563E">
        <w:tc>
          <w:tcPr>
            <w:tcW w:w="426" w:type="dxa"/>
          </w:tcPr>
          <w:p w14:paraId="27DD6425" w14:textId="77777777" w:rsidR="00E7563E" w:rsidRPr="00221908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190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2190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134" w:type="dxa"/>
          </w:tcPr>
          <w:p w14:paraId="7357A0DA" w14:textId="77777777" w:rsidR="00E7563E" w:rsidRPr="00221908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</w:pPr>
            <w:r w:rsidRPr="0022190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  <w:t>Ոլորտ</w:t>
            </w:r>
          </w:p>
        </w:tc>
        <w:tc>
          <w:tcPr>
            <w:tcW w:w="1560" w:type="dxa"/>
          </w:tcPr>
          <w:p w14:paraId="03C2BAFE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Սոցիալական </w:t>
            </w:r>
          </w:p>
          <w:p w14:paraId="608C560C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և </w:t>
            </w: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վարքաբանա</w:t>
            </w:r>
            <w:proofErr w:type="spellEnd"/>
          </w:p>
          <w:p w14:paraId="02CDF7E9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կան գիտություններ</w:t>
            </w:r>
          </w:p>
        </w:tc>
        <w:tc>
          <w:tcPr>
            <w:tcW w:w="3827" w:type="dxa"/>
            <w:gridSpan w:val="3"/>
          </w:tcPr>
          <w:p w14:paraId="32AC4830" w14:textId="77777777" w:rsidR="00E7563E" w:rsidRPr="00E7563E" w:rsidRDefault="00E7563E" w:rsidP="008C65A7">
            <w:pPr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 Գործարարություն և վարչարարություն</w:t>
            </w:r>
          </w:p>
        </w:tc>
        <w:tc>
          <w:tcPr>
            <w:tcW w:w="3827" w:type="dxa"/>
            <w:gridSpan w:val="3"/>
          </w:tcPr>
          <w:p w14:paraId="165A292B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 xml:space="preserve">  Մաթեմատիկա և վիճակագրություն</w:t>
            </w:r>
          </w:p>
        </w:tc>
      </w:tr>
      <w:tr w:rsidR="00E7563E" w14:paraId="30E50135" w14:textId="77777777" w:rsidTr="00E7563E">
        <w:tc>
          <w:tcPr>
            <w:tcW w:w="426" w:type="dxa"/>
          </w:tcPr>
          <w:p w14:paraId="7BCBDBAD" w14:textId="77777777" w:rsidR="00E7563E" w:rsidRPr="00CA1EB7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56B7650C" w14:textId="77777777" w:rsid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  <w:t>Ենթաոլո</w:t>
            </w:r>
            <w:proofErr w:type="spellEnd"/>
          </w:p>
          <w:p w14:paraId="54AC5819" w14:textId="77777777" w:rsidR="00E7563E" w:rsidRPr="00CA1EB7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  <w:t>րտ</w:t>
            </w:r>
            <w:proofErr w:type="spellEnd"/>
          </w:p>
        </w:tc>
        <w:tc>
          <w:tcPr>
            <w:tcW w:w="1560" w:type="dxa"/>
          </w:tcPr>
          <w:p w14:paraId="72BC8FA5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Տնտեսագիտու</w:t>
            </w:r>
            <w:proofErr w:type="spellEnd"/>
          </w:p>
          <w:p w14:paraId="46DFA19B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թյուն</w:t>
            </w:r>
          </w:p>
        </w:tc>
        <w:tc>
          <w:tcPr>
            <w:tcW w:w="1417" w:type="dxa"/>
          </w:tcPr>
          <w:p w14:paraId="0C478A1C" w14:textId="77777777" w:rsidR="00E7563E" w:rsidRPr="00E7563E" w:rsidRDefault="00E7563E" w:rsidP="008C65A7">
            <w:pPr>
              <w:pStyle w:val="ListParagraph"/>
              <w:ind w:left="28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Հաշ</w:t>
            </w:r>
            <w:proofErr w:type="spellEnd"/>
          </w:p>
          <w:p w14:paraId="2F89FCA2" w14:textId="77777777" w:rsidR="00E7563E" w:rsidRPr="00E7563E" w:rsidRDefault="00E7563E" w:rsidP="008C65A7">
            <w:pPr>
              <w:pStyle w:val="ListParagraph"/>
              <w:ind w:left="28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վապա</w:t>
            </w:r>
            <w:proofErr w:type="spellEnd"/>
          </w:p>
          <w:p w14:paraId="5BADAFFC" w14:textId="77777777" w:rsidR="00E7563E" w:rsidRPr="00E7563E" w:rsidRDefault="00E7563E" w:rsidP="008C65A7">
            <w:pPr>
              <w:pStyle w:val="ListParagraph"/>
              <w:ind w:left="28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հություն  և հար</w:t>
            </w:r>
          </w:p>
          <w:p w14:paraId="31454E49" w14:textId="77777777" w:rsidR="00E7563E" w:rsidRPr="00E7563E" w:rsidRDefault="00E7563E" w:rsidP="008C65A7">
            <w:pPr>
              <w:pStyle w:val="ListParagraph"/>
              <w:ind w:left="28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կային </w:t>
            </w: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գորիծ</w:t>
            </w:r>
            <w:proofErr w:type="spellEnd"/>
          </w:p>
        </w:tc>
        <w:tc>
          <w:tcPr>
            <w:tcW w:w="1134" w:type="dxa"/>
          </w:tcPr>
          <w:p w14:paraId="4AD90409" w14:textId="77777777" w:rsidR="00E7563E" w:rsidRPr="00E7563E" w:rsidRDefault="00E7563E" w:rsidP="008C65A7">
            <w:pPr>
              <w:pStyle w:val="ListParagraph"/>
              <w:ind w:left="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Ֆի</w:t>
            </w:r>
          </w:p>
          <w:p w14:paraId="027CABFC" w14:textId="77777777" w:rsidR="00E7563E" w:rsidRPr="00E7563E" w:rsidRDefault="00E7563E" w:rsidP="008C65A7">
            <w:pPr>
              <w:pStyle w:val="ListParagraph"/>
              <w:ind w:left="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նանս</w:t>
            </w:r>
          </w:p>
          <w:p w14:paraId="03DE8671" w14:textId="77777777" w:rsidR="00E7563E" w:rsidRPr="00E7563E" w:rsidRDefault="00E7563E" w:rsidP="008C65A7">
            <w:pPr>
              <w:pStyle w:val="ListParagraph"/>
              <w:ind w:left="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ներ</w:t>
            </w:r>
          </w:p>
        </w:tc>
        <w:tc>
          <w:tcPr>
            <w:tcW w:w="1276" w:type="dxa"/>
          </w:tcPr>
          <w:p w14:paraId="0AD850C2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Կա</w:t>
            </w:r>
          </w:p>
          <w:p w14:paraId="279ED352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ռա</w:t>
            </w:r>
            <w:proofErr w:type="spellEnd"/>
          </w:p>
          <w:p w14:paraId="131DCBDC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վա</w:t>
            </w:r>
          </w:p>
          <w:p w14:paraId="7922660C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րում</w:t>
            </w:r>
            <w:proofErr w:type="spellEnd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 և վար</w:t>
            </w:r>
          </w:p>
          <w:p w14:paraId="37B1E43A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չա</w:t>
            </w:r>
          </w:p>
          <w:p w14:paraId="3E8D674D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րա</w:t>
            </w:r>
            <w:proofErr w:type="spellEnd"/>
          </w:p>
          <w:p w14:paraId="51C0D3D5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րութ</w:t>
            </w:r>
            <w:proofErr w:type="spellEnd"/>
          </w:p>
          <w:p w14:paraId="6D8B6A91" w14:textId="77777777" w:rsidR="00E7563E" w:rsidRPr="00E7563E" w:rsidRDefault="00E7563E" w:rsidP="008C65A7">
            <w:pPr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յուն</w:t>
            </w:r>
            <w:proofErr w:type="spellEnd"/>
          </w:p>
        </w:tc>
        <w:tc>
          <w:tcPr>
            <w:tcW w:w="1134" w:type="dxa"/>
          </w:tcPr>
          <w:p w14:paraId="188434DD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Մաթե</w:t>
            </w:r>
            <w:proofErr w:type="spellEnd"/>
          </w:p>
          <w:p w14:paraId="22ECC340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մատի</w:t>
            </w:r>
          </w:p>
          <w:p w14:paraId="700B343B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կա</w:t>
            </w:r>
          </w:p>
        </w:tc>
        <w:tc>
          <w:tcPr>
            <w:tcW w:w="1134" w:type="dxa"/>
          </w:tcPr>
          <w:p w14:paraId="78DFAE4C" w14:textId="77777777" w:rsidR="00E7563E" w:rsidRPr="00E7563E" w:rsidRDefault="00E7563E" w:rsidP="00E7563E">
            <w:pPr>
              <w:pStyle w:val="ListParagraph"/>
              <w:tabs>
                <w:tab w:val="left" w:pos="882"/>
              </w:tabs>
              <w:ind w:left="313" w:right="11" w:hanging="313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Վիճա</w:t>
            </w:r>
            <w:proofErr w:type="spellEnd"/>
          </w:p>
          <w:p w14:paraId="382E84FC" w14:textId="77777777" w:rsidR="00E7563E" w:rsidRPr="00E7563E" w:rsidRDefault="00E7563E" w:rsidP="00E7563E">
            <w:pPr>
              <w:pStyle w:val="ListParagraph"/>
              <w:tabs>
                <w:tab w:val="left" w:pos="882"/>
              </w:tabs>
              <w:ind w:left="313" w:right="11" w:hanging="313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կագ</w:t>
            </w:r>
            <w:proofErr w:type="spellEnd"/>
          </w:p>
          <w:p w14:paraId="6BB07642" w14:textId="77777777" w:rsidR="00E7563E" w:rsidRPr="00E7563E" w:rsidRDefault="00E7563E" w:rsidP="00E7563E">
            <w:pPr>
              <w:pStyle w:val="ListParagraph"/>
              <w:tabs>
                <w:tab w:val="left" w:pos="882"/>
              </w:tabs>
              <w:ind w:left="313" w:right="11" w:hanging="313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րութ</w:t>
            </w:r>
            <w:proofErr w:type="spellEnd"/>
          </w:p>
          <w:p w14:paraId="6BB5C373" w14:textId="77777777" w:rsidR="00E7563E" w:rsidRPr="00E7563E" w:rsidRDefault="00E7563E" w:rsidP="00E7563E">
            <w:pPr>
              <w:pStyle w:val="ListParagraph"/>
              <w:tabs>
                <w:tab w:val="left" w:pos="882"/>
              </w:tabs>
              <w:ind w:left="313" w:right="11" w:hanging="313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յուն</w:t>
            </w:r>
            <w:proofErr w:type="spellEnd"/>
          </w:p>
        </w:tc>
        <w:tc>
          <w:tcPr>
            <w:tcW w:w="1559" w:type="dxa"/>
          </w:tcPr>
          <w:p w14:paraId="37180E2F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Միջոլորտային</w:t>
            </w:r>
            <w:proofErr w:type="spellEnd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 xml:space="preserve"> մասնագիտություններ</w:t>
            </w:r>
          </w:p>
        </w:tc>
      </w:tr>
      <w:tr w:rsidR="00E7563E" w14:paraId="642D6A7E" w14:textId="77777777" w:rsidTr="00E7563E">
        <w:tc>
          <w:tcPr>
            <w:tcW w:w="426" w:type="dxa"/>
          </w:tcPr>
          <w:p w14:paraId="5C6C29D1" w14:textId="77777777" w:rsidR="00E7563E" w:rsidRPr="00CA1EB7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134" w:type="dxa"/>
          </w:tcPr>
          <w:p w14:paraId="3C8D0F6B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Մասնա</w:t>
            </w:r>
          </w:p>
          <w:p w14:paraId="0A954335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գիտություն</w:t>
            </w:r>
          </w:p>
        </w:tc>
        <w:tc>
          <w:tcPr>
            <w:tcW w:w="1560" w:type="dxa"/>
          </w:tcPr>
          <w:p w14:paraId="1B3FF8BC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</w:p>
        </w:tc>
        <w:tc>
          <w:tcPr>
            <w:tcW w:w="3827" w:type="dxa"/>
            <w:gridSpan w:val="3"/>
          </w:tcPr>
          <w:p w14:paraId="00360BC8" w14:textId="77777777" w:rsidR="00E7563E" w:rsidRPr="00E7563E" w:rsidRDefault="00E7563E" w:rsidP="008C65A7">
            <w:pPr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</w:p>
        </w:tc>
        <w:tc>
          <w:tcPr>
            <w:tcW w:w="1134" w:type="dxa"/>
          </w:tcPr>
          <w:p w14:paraId="346EB613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</w:tcPr>
          <w:p w14:paraId="164BB625" w14:textId="77777777" w:rsidR="00E7563E" w:rsidRPr="00E7563E" w:rsidRDefault="00E7563E" w:rsidP="008C65A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</w:tcPr>
          <w:p w14:paraId="719776FD" w14:textId="77777777" w:rsidR="00E7563E" w:rsidRPr="00E7563E" w:rsidRDefault="00E7563E" w:rsidP="008C65A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Ֆինանսա</w:t>
            </w:r>
          </w:p>
          <w:p w14:paraId="5ABCC809" w14:textId="77777777" w:rsidR="00E7563E" w:rsidRPr="00E7563E" w:rsidRDefault="00E7563E" w:rsidP="008C65A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 xml:space="preserve">կան </w:t>
            </w: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մաթեմա</w:t>
            </w:r>
            <w:proofErr w:type="spellEnd"/>
          </w:p>
          <w:p w14:paraId="1752F27D" w14:textId="77777777" w:rsidR="00E7563E" w:rsidRPr="00E7563E" w:rsidRDefault="00E7563E" w:rsidP="008C65A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տիկա</w:t>
            </w:r>
            <w:proofErr w:type="spellEnd"/>
          </w:p>
        </w:tc>
      </w:tr>
    </w:tbl>
    <w:p w14:paraId="2D4C0DEB" w14:textId="59BEB96D" w:rsidR="00E7563E" w:rsidRDefault="00E7563E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5CB64607" w14:textId="77777777" w:rsidR="00E7563E" w:rsidRDefault="00E7563E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0C553268" w14:textId="729B9631" w:rsidR="00E43115" w:rsidRPr="00E7563E" w:rsidRDefault="00E43115" w:rsidP="00E7563E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գործառույթների</w:t>
      </w:r>
      <w:r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իրականացման</w:t>
      </w:r>
      <w:r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</w:t>
      </w:r>
      <w:r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5D8EB14A" w14:textId="39058892" w:rsidR="0019286D" w:rsidRPr="00555AFB" w:rsidRDefault="00E7563E" w:rsidP="00E7563E">
      <w:pPr>
        <w:pStyle w:val="ListParagraph"/>
        <w:numPr>
          <w:ilvl w:val="0"/>
          <w:numId w:val="5"/>
        </w:numPr>
        <w:ind w:left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proofErr w:type="spellStart"/>
      <w:r w:rsidRPr="00E7563E">
        <w:rPr>
          <w:rFonts w:ascii="GHEA Grapalat" w:hAnsi="GHEA Grapalat"/>
          <w:sz w:val="24"/>
          <w:szCs w:val="24"/>
          <w:lang w:val="hy-AM"/>
        </w:rPr>
        <w:t>h</w:t>
      </w:r>
      <w:r w:rsidR="00C909E2" w:rsidRPr="00E7563E">
        <w:rPr>
          <w:rFonts w:ascii="GHEA Grapalat" w:hAnsi="GHEA Grapalat"/>
          <w:sz w:val="24"/>
          <w:szCs w:val="24"/>
          <w:lang w:val="hy-AM"/>
        </w:rPr>
        <w:t>անրային</w:t>
      </w:r>
      <w:proofErr w:type="spellEnd"/>
      <w:r w:rsidR="00C909E2" w:rsidRPr="00E7563E">
        <w:rPr>
          <w:rFonts w:ascii="GHEA Grapalat" w:hAnsi="GHEA Grapalat"/>
          <w:sz w:val="24"/>
          <w:szCs w:val="24"/>
          <w:lang w:val="hy-AM"/>
        </w:rPr>
        <w:t xml:space="preserve"> ծառայության առնվազն մեկ տարվա ստաժ կամ մեկ տարվա մասնագիտական աշխատանքային ստաժ կամ </w:t>
      </w:r>
      <w:proofErr w:type="spellStart"/>
      <w:r w:rsidR="00C909E2" w:rsidRPr="00E7563E">
        <w:rPr>
          <w:rFonts w:ascii="GHEA Grapalat" w:hAnsi="GHEA Grapalat"/>
          <w:sz w:val="24"/>
          <w:szCs w:val="24"/>
          <w:lang w:val="hy-AM"/>
        </w:rPr>
        <w:t>ֆինանսավարկայինկամ</w:t>
      </w:r>
      <w:proofErr w:type="spellEnd"/>
      <w:r w:rsidR="00C909E2" w:rsidRPr="00E7563E">
        <w:rPr>
          <w:rFonts w:ascii="GHEA Grapalat" w:hAnsi="GHEA Grapalat"/>
          <w:sz w:val="24"/>
          <w:szCs w:val="24"/>
          <w:lang w:val="hy-AM"/>
        </w:rPr>
        <w:t xml:space="preserve"> տնտեսագիտության բնագավառում` մեկ տարվա աշխատանքային ստաժ։</w:t>
      </w:r>
    </w:p>
    <w:p w14:paraId="52A01DEE" w14:textId="77777777" w:rsidR="00C909E2" w:rsidRDefault="00C909E2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F91044" w14:textId="21A5043B" w:rsidR="005D1FA8" w:rsidRPr="00555AFB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55AFB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555AFB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7CF1E9D3" w14:textId="17E4A115" w:rsidR="005D1FA8" w:rsidRPr="00555AFB" w:rsidRDefault="005D1FA8" w:rsidP="0026109B">
      <w:pPr>
        <w:pStyle w:val="ListParagraph"/>
        <w:spacing w:after="0"/>
        <w:ind w:left="567"/>
        <w:rPr>
          <w:rFonts w:ascii="GHEA Grapalat" w:hAnsi="GHEA Grapalat" w:cs="Sylfaen"/>
          <w:b/>
          <w:iCs/>
          <w:sz w:val="24"/>
          <w:szCs w:val="24"/>
          <w:lang w:val="en-US"/>
        </w:rPr>
      </w:pPr>
      <w:r w:rsidRPr="00555AFB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Ընդհանրական </w:t>
      </w:r>
      <w:proofErr w:type="spellStart"/>
      <w:r w:rsidRPr="00555AFB">
        <w:rPr>
          <w:rFonts w:ascii="GHEA Grapalat" w:hAnsi="GHEA Grapalat" w:cs="Sylfaen"/>
          <w:b/>
          <w:iCs/>
          <w:sz w:val="24"/>
          <w:szCs w:val="24"/>
          <w:lang w:val="hy-AM"/>
        </w:rPr>
        <w:t>կոմպետենցիաներ</w:t>
      </w:r>
      <w:proofErr w:type="spellEnd"/>
      <w:r w:rsidRPr="00555AFB">
        <w:rPr>
          <w:rFonts w:ascii="GHEA Grapalat" w:hAnsi="GHEA Grapalat" w:cs="Sylfaen"/>
          <w:b/>
          <w:iCs/>
          <w:sz w:val="24"/>
          <w:szCs w:val="24"/>
          <w:lang w:val="hy-AM"/>
        </w:rPr>
        <w:t>`</w:t>
      </w:r>
    </w:p>
    <w:p w14:paraId="58724E50" w14:textId="77777777" w:rsidR="00C909E2" w:rsidRPr="00C909E2" w:rsidRDefault="00C909E2" w:rsidP="00C909E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Խնդրի</w:t>
      </w:r>
      <w:proofErr w:type="spellEnd"/>
      <w:r w:rsidRPr="00C909E2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լուծում</w:t>
      </w:r>
      <w:proofErr w:type="spellEnd"/>
    </w:p>
    <w:p w14:paraId="34334315" w14:textId="77777777" w:rsidR="00C909E2" w:rsidRPr="00C909E2" w:rsidRDefault="00C909E2" w:rsidP="00C909E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Հաշվետվությունների</w:t>
      </w:r>
      <w:proofErr w:type="spellEnd"/>
      <w:r w:rsidRPr="00C909E2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մշակում</w:t>
      </w:r>
      <w:proofErr w:type="spellEnd"/>
    </w:p>
    <w:p w14:paraId="2DA14550" w14:textId="77777777" w:rsidR="00C909E2" w:rsidRPr="00C909E2" w:rsidRDefault="00C909E2" w:rsidP="00C909E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  <w:proofErr w:type="spellEnd"/>
    </w:p>
    <w:p w14:paraId="1EECC8E2" w14:textId="77777777" w:rsidR="00C909E2" w:rsidRPr="00C909E2" w:rsidRDefault="00C909E2" w:rsidP="00C909E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Տեղեկատվության</w:t>
      </w:r>
      <w:proofErr w:type="spellEnd"/>
      <w:r w:rsidRPr="00C909E2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հավաքագրում</w:t>
      </w:r>
      <w:proofErr w:type="spellEnd"/>
      <w:r w:rsidRPr="00C909E2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վերլուծություն</w:t>
      </w:r>
      <w:proofErr w:type="spellEnd"/>
    </w:p>
    <w:p w14:paraId="6EF294CD" w14:textId="77777777" w:rsidR="0026109B" w:rsidRPr="00C909E2" w:rsidRDefault="0026109B" w:rsidP="00C909E2">
      <w:pPr>
        <w:spacing w:after="0" w:line="240" w:lineRule="auto"/>
        <w:ind w:left="567" w:firstLine="567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6BA32280" w14:textId="052B734A" w:rsidR="005D1FA8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555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555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555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555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7ABA27E7" w14:textId="77777777" w:rsidR="00C909E2" w:rsidRPr="00C909E2" w:rsidRDefault="00C909E2" w:rsidP="00C90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9B4D0" w14:textId="77777777" w:rsidR="00C909E2" w:rsidRPr="00C909E2" w:rsidRDefault="00C909E2" w:rsidP="00C909E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Ժամանակի</w:t>
      </w:r>
      <w:proofErr w:type="spellEnd"/>
      <w:r w:rsidRPr="00C909E2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6DBA7EFA" w14:textId="77777777" w:rsidR="00C909E2" w:rsidRPr="00C909E2" w:rsidRDefault="00C909E2" w:rsidP="00C909E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C909E2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</w:p>
    <w:p w14:paraId="26A640D9" w14:textId="77777777" w:rsidR="00C909E2" w:rsidRPr="00C909E2" w:rsidRDefault="00C909E2" w:rsidP="00C909E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Ֆինանսների</w:t>
      </w:r>
      <w:proofErr w:type="spellEnd"/>
      <w:r w:rsidRPr="00C909E2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ռեսուրսների</w:t>
      </w:r>
      <w:proofErr w:type="spellEnd"/>
      <w:r w:rsidRPr="00C909E2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909E2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4349C408" w14:textId="77777777" w:rsidR="00EB2493" w:rsidRPr="00C909E2" w:rsidRDefault="00EB2493" w:rsidP="00A937E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14:paraId="191ADBC2" w14:textId="43E1AA29" w:rsidR="00A937EE" w:rsidRPr="00555AFB" w:rsidRDefault="00A937EE" w:rsidP="00A937EE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555AFB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af-ZA" w:eastAsia="en-GB"/>
        </w:rPr>
      </w:pPr>
    </w:p>
    <w:p w14:paraId="3AEC2496" w14:textId="77777777" w:rsidR="00B36BF6" w:rsidRPr="00F44E69" w:rsidRDefault="00E43115" w:rsidP="00B36BF6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Աշխատավարձի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af-ZA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չափը</w:t>
      </w:r>
      <w:proofErr w:type="spellEnd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 xml:space="preserve"> </w:t>
      </w:r>
      <w:r w:rsidR="00B36BF6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267072 </w:t>
      </w:r>
      <w:r w:rsidR="00B36BF6" w:rsidRPr="00F44E69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36BF6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երկու </w:t>
      </w:r>
      <w:r w:rsidR="00B36BF6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B36BF6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="00B36BF6" w:rsidRPr="00F44E6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B36BF6" w:rsidRPr="00F44E69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B36BF6" w:rsidRPr="00F44E6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B36BF6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="00B36BF6" w:rsidRPr="00F44E69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B36BF6" w:rsidRPr="00F44E69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B36BF6" w:rsidRPr="00F44E69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B36BF6" w:rsidRPr="00F44E6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B36BF6" w:rsidRPr="00F44E69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</w:p>
    <w:p w14:paraId="5A210C9F" w14:textId="10445CB8" w:rsidR="00E43115" w:rsidRPr="00555AFB" w:rsidRDefault="00DE1A8A" w:rsidP="00F96F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ի</w:t>
      </w: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մինչև</w:t>
      </w:r>
      <w:proofErr w:type="spellEnd"/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քաղաքացիական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ծառայության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թափուր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հիմքի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վերացումը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39F1B16B" w14:textId="77777777" w:rsidR="00F96F15" w:rsidRPr="00555AFB" w:rsidRDefault="00F96F15" w:rsidP="00F96F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</w:p>
    <w:p w14:paraId="51592FB3" w14:textId="5DA9BF73" w:rsidR="00A70E83" w:rsidRPr="00555AFB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="00596F26" w:rsidRPr="00555AF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555AFB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0F8B89CC" w14:textId="68F8CA85" w:rsidR="000F761E" w:rsidRPr="00C909E2" w:rsidRDefault="00E43115" w:rsidP="00C909E2">
      <w:pPr>
        <w:pStyle w:val="Default"/>
        <w:rPr>
          <w:rFonts w:ascii="GHEA Grapalat" w:hAnsi="GHEA Grapalat"/>
          <w:lang w:val="hy-AM"/>
        </w:rPr>
      </w:pP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lastRenderedPageBreak/>
        <w:t>Աշխատանքի</w:t>
      </w:r>
      <w:r w:rsidRPr="00555AFB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0F761E" w:rsidRPr="00555AFB">
        <w:rPr>
          <w:rFonts w:ascii="GHEA Grapalat" w:hAnsi="GHEA Grapalat"/>
          <w:shd w:val="clear" w:color="auto" w:fill="F7F8FC"/>
          <w:lang w:val="hy-AM"/>
        </w:rPr>
        <w:t>Հայաստանի Հանրապետություն, ք</w:t>
      </w:r>
      <w:r w:rsidR="000F761E" w:rsidRPr="00555AFB">
        <w:rPr>
          <w:rFonts w:ascii="Cambria Math" w:hAnsi="Cambria Math" w:cs="Cambria Math"/>
          <w:shd w:val="clear" w:color="auto" w:fill="F7F8FC"/>
          <w:lang w:val="hy-AM"/>
        </w:rPr>
        <w:t>․</w:t>
      </w:r>
      <w:r w:rsidR="000F761E" w:rsidRPr="00555AFB">
        <w:rPr>
          <w:rFonts w:ascii="GHEA Grapalat" w:hAnsi="GHEA Grapalat"/>
          <w:shd w:val="clear" w:color="auto" w:fill="F7F8FC"/>
          <w:lang w:val="hy-AM"/>
        </w:rPr>
        <w:t xml:space="preserve"> </w:t>
      </w:r>
      <w:proofErr w:type="spellStart"/>
      <w:r w:rsidR="000F761E" w:rsidRPr="00555AFB">
        <w:rPr>
          <w:rFonts w:ascii="GHEA Grapalat" w:hAnsi="GHEA Grapalat"/>
          <w:shd w:val="clear" w:color="auto" w:fill="F7F8FC"/>
          <w:lang w:val="hy-AM"/>
        </w:rPr>
        <w:t>Երևան</w:t>
      </w:r>
      <w:proofErr w:type="spellEnd"/>
      <w:r w:rsidR="000F761E" w:rsidRPr="00555AFB">
        <w:rPr>
          <w:rFonts w:ascii="GHEA Grapalat" w:hAnsi="GHEA Grapalat"/>
          <w:shd w:val="clear" w:color="auto" w:fill="F7F8FC"/>
          <w:lang w:val="hy-AM"/>
        </w:rPr>
        <w:t xml:space="preserve">, </w:t>
      </w:r>
      <w:r w:rsidR="00F96F15" w:rsidRPr="00555AFB">
        <w:rPr>
          <w:rFonts w:ascii="GHEA Grapalat" w:hAnsi="GHEA Grapalat"/>
          <w:lang w:val="hy-AM"/>
        </w:rPr>
        <w:t xml:space="preserve">Կենտրոն վարչական շրջան, </w:t>
      </w:r>
      <w:r w:rsidR="00C909E2" w:rsidRPr="00C909E2">
        <w:rPr>
          <w:rFonts w:ascii="GHEA Grapalat" w:hAnsi="GHEA Grapalat"/>
          <w:sz w:val="23"/>
          <w:szCs w:val="23"/>
          <w:lang w:val="hy-AM"/>
        </w:rPr>
        <w:t>Խանջյան 51ա</w:t>
      </w:r>
      <w:r w:rsidR="00F96F15" w:rsidRPr="00C909E2">
        <w:rPr>
          <w:rFonts w:ascii="GHEA Grapalat" w:hAnsi="GHEA Grapalat"/>
          <w:lang w:val="hy-AM"/>
        </w:rPr>
        <w:t>։</w:t>
      </w:r>
    </w:p>
    <w:p w14:paraId="7D2F01F4" w14:textId="77777777" w:rsidR="00F96F15" w:rsidRPr="00555AFB" w:rsidRDefault="00F96F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</w:pPr>
    </w:p>
    <w:p w14:paraId="648D8698" w14:textId="67F8F153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թափուր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քաղաքացիական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ծառայության</w:t>
      </w:r>
      <w:r w:rsidRPr="00555AFB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="000F761E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պաշտոնի</w:t>
      </w:r>
      <w:r w:rsidR="000F761E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571B88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անձնագ</w:t>
      </w:r>
      <w:r w:rsidR="00527860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իր</w:t>
      </w:r>
      <w:r w:rsidR="00571B88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ը</w:t>
      </w:r>
      <w:r w:rsidRPr="00555AFB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="00571B88" w:rsidRPr="00555AFB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555AFB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ձևը</w:t>
      </w:r>
      <w:proofErr w:type="spellEnd"/>
      <w:r w:rsidRPr="00555AFB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3D200703" w14:textId="77777777" w:rsidR="005A5F27" w:rsidRPr="00555AFB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24715847" w14:textId="2A84A0F8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Դիմող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ՀՀ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քաղաքացիները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պետք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ներկայացնեն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հետևյալ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նախարարության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գլխավոր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քարտուղարի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անունով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ձևը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),</w:t>
      </w:r>
    </w:p>
    <w:p w14:paraId="5D2F9334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անձնագրի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նույնականացման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052F07D6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տվյալ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զբաղեցնելու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մասնագիտական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ունակությունների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տիրապետման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տեսանկյունից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ներկայացվող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պահանջների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բավարարումը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հավաստող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փաստաթղթերի՝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դիպլոմի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վերջինիս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բացակայության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դեպքում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ներկայացնել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մարմնից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ներից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)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784C5D54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սեռի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անձինք՝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զինվորական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դրան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փոխարինող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զորակոչային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տեղամասից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կցագրման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24A54F63" w14:textId="743ACC81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մեկ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լուսանկար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3</w:t>
      </w:r>
      <w:r w:rsidR="00101EE4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x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4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չափսի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535F4A28" w14:textId="2E2127C6" w:rsidR="001022B9" w:rsidRPr="00555AFB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յուրաքանչյուր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օր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ընդունվում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10:00-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12: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00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14:30-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</w:t>
      </w:r>
      <w:r w:rsidR="000404E6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6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30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ը՝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թղթային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առցանց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տարբերակով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</w:p>
    <w:p w14:paraId="121546D3" w14:textId="7A1A3B3B" w:rsidR="001022B9" w:rsidRPr="00555AFB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ED4453" w:rsidRPr="00291843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5251E35E" w:rsidR="001022B9" w:rsidRPr="00555AFB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Դիմումների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ընդունման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վերջին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ժամկետն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  <w:r w:rsidRPr="00555AFB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en-GB"/>
        </w:rPr>
        <w:t> 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2024 թվականի </w:t>
      </w:r>
      <w:r w:rsidR="00C909E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հուլ</w:t>
      </w:r>
      <w:r w:rsidR="002F2FD6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իս</w:t>
      </w:r>
      <w:r w:rsidR="00601C01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ի </w:t>
      </w:r>
      <w:r w:rsidR="00C909E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24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-ը ներառյալ։</w:t>
      </w:r>
    </w:p>
    <w:p w14:paraId="42752A2E" w14:textId="47978BA1" w:rsidR="00F17F8F" w:rsidRPr="00555AFB" w:rsidRDefault="00A937EE" w:rsidP="000248F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55AFB">
        <w:rPr>
          <w:rFonts w:ascii="GHEA Grapalat" w:hAnsi="GHEA Grapalat" w:cs="Sylfaen"/>
          <w:sz w:val="24"/>
          <w:szCs w:val="24"/>
          <w:lang w:val="hy-AM"/>
        </w:rPr>
        <w:t>Լ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րդ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հեռ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0596481</w:t>
      </w:r>
      <w:r w:rsidR="000248F0" w:rsidRPr="00555AFB">
        <w:rPr>
          <w:rFonts w:ascii="GHEA Grapalat" w:hAnsi="GHEA Grapalat" w:cs="Times Armenian"/>
          <w:sz w:val="24"/>
          <w:szCs w:val="24"/>
          <w:lang w:val="hy-AM"/>
        </w:rPr>
        <w:t>։</w:t>
      </w:r>
    </w:p>
    <w:sectPr w:rsidR="00F17F8F" w:rsidRPr="00555AFB" w:rsidSect="00C35871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C3C"/>
    <w:multiLevelType w:val="multilevel"/>
    <w:tmpl w:val="F58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C248D"/>
    <w:multiLevelType w:val="multilevel"/>
    <w:tmpl w:val="B68C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B7F6B"/>
    <w:multiLevelType w:val="hybridMultilevel"/>
    <w:tmpl w:val="1A823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2E3"/>
    <w:multiLevelType w:val="multilevel"/>
    <w:tmpl w:val="DC1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13EF3"/>
    <w:multiLevelType w:val="multilevel"/>
    <w:tmpl w:val="51F6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8328A"/>
    <w:multiLevelType w:val="hybridMultilevel"/>
    <w:tmpl w:val="AF50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35CA3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C56BE6"/>
    <w:multiLevelType w:val="hybridMultilevel"/>
    <w:tmpl w:val="24B23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E1971"/>
    <w:multiLevelType w:val="multilevel"/>
    <w:tmpl w:val="636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215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E28A4"/>
    <w:multiLevelType w:val="hybridMultilevel"/>
    <w:tmpl w:val="B5C8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1E7B7A"/>
    <w:multiLevelType w:val="hybridMultilevel"/>
    <w:tmpl w:val="87FE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46B69"/>
    <w:multiLevelType w:val="multilevel"/>
    <w:tmpl w:val="CFF8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833A78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E0EAF"/>
    <w:multiLevelType w:val="hybridMultilevel"/>
    <w:tmpl w:val="F7F2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2841CB"/>
    <w:multiLevelType w:val="multilevel"/>
    <w:tmpl w:val="874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5D110D"/>
    <w:multiLevelType w:val="hybridMultilevel"/>
    <w:tmpl w:val="A39E5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8078AB"/>
    <w:multiLevelType w:val="hybridMultilevel"/>
    <w:tmpl w:val="D78C9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3"/>
  </w:num>
  <w:num w:numId="5">
    <w:abstractNumId w:val="6"/>
  </w:num>
  <w:num w:numId="6">
    <w:abstractNumId w:val="20"/>
  </w:num>
  <w:num w:numId="7">
    <w:abstractNumId w:val="14"/>
  </w:num>
  <w:num w:numId="8">
    <w:abstractNumId w:val="23"/>
  </w:num>
  <w:num w:numId="9">
    <w:abstractNumId w:val="4"/>
  </w:num>
  <w:num w:numId="10">
    <w:abstractNumId w:val="3"/>
  </w:num>
  <w:num w:numId="11">
    <w:abstractNumId w:val="16"/>
  </w:num>
  <w:num w:numId="12">
    <w:abstractNumId w:val="21"/>
  </w:num>
  <w:num w:numId="13">
    <w:abstractNumId w:val="17"/>
  </w:num>
  <w:num w:numId="14">
    <w:abstractNumId w:val="0"/>
  </w:num>
  <w:num w:numId="15">
    <w:abstractNumId w:val="1"/>
  </w:num>
  <w:num w:numId="16">
    <w:abstractNumId w:val="10"/>
  </w:num>
  <w:num w:numId="17">
    <w:abstractNumId w:val="19"/>
  </w:num>
  <w:num w:numId="18">
    <w:abstractNumId w:val="11"/>
  </w:num>
  <w:num w:numId="19">
    <w:abstractNumId w:val="9"/>
  </w:num>
  <w:num w:numId="20">
    <w:abstractNumId w:val="8"/>
  </w:num>
  <w:num w:numId="21">
    <w:abstractNumId w:val="12"/>
  </w:num>
  <w:num w:numId="22">
    <w:abstractNumId w:val="15"/>
  </w:num>
  <w:num w:numId="23">
    <w:abstractNumId w:val="2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42"/>
    <w:rsid w:val="00005474"/>
    <w:rsid w:val="000248F0"/>
    <w:rsid w:val="000404E6"/>
    <w:rsid w:val="000F761E"/>
    <w:rsid w:val="00101EE4"/>
    <w:rsid w:val="001022B9"/>
    <w:rsid w:val="00130011"/>
    <w:rsid w:val="00164FDD"/>
    <w:rsid w:val="00176505"/>
    <w:rsid w:val="0019286D"/>
    <w:rsid w:val="0026109B"/>
    <w:rsid w:val="00281648"/>
    <w:rsid w:val="0028495B"/>
    <w:rsid w:val="002F2FD6"/>
    <w:rsid w:val="003B4D51"/>
    <w:rsid w:val="003F153B"/>
    <w:rsid w:val="00450EC6"/>
    <w:rsid w:val="00527860"/>
    <w:rsid w:val="00555AFB"/>
    <w:rsid w:val="00571B88"/>
    <w:rsid w:val="00596F26"/>
    <w:rsid w:val="005A5F27"/>
    <w:rsid w:val="005D1014"/>
    <w:rsid w:val="005D1FA8"/>
    <w:rsid w:val="00601C01"/>
    <w:rsid w:val="00631224"/>
    <w:rsid w:val="0067528C"/>
    <w:rsid w:val="007C7B55"/>
    <w:rsid w:val="007E3E14"/>
    <w:rsid w:val="00811719"/>
    <w:rsid w:val="00843D05"/>
    <w:rsid w:val="00890675"/>
    <w:rsid w:val="00894750"/>
    <w:rsid w:val="008C1A64"/>
    <w:rsid w:val="009256D8"/>
    <w:rsid w:val="009B306E"/>
    <w:rsid w:val="00A51346"/>
    <w:rsid w:val="00A70E83"/>
    <w:rsid w:val="00A821FC"/>
    <w:rsid w:val="00A937EE"/>
    <w:rsid w:val="00AB1B90"/>
    <w:rsid w:val="00B36BF6"/>
    <w:rsid w:val="00BD5CE1"/>
    <w:rsid w:val="00C20F01"/>
    <w:rsid w:val="00C3196D"/>
    <w:rsid w:val="00C35871"/>
    <w:rsid w:val="00C77C2F"/>
    <w:rsid w:val="00C909E2"/>
    <w:rsid w:val="00C96966"/>
    <w:rsid w:val="00CB54E1"/>
    <w:rsid w:val="00CE607A"/>
    <w:rsid w:val="00D6589D"/>
    <w:rsid w:val="00DC09E0"/>
    <w:rsid w:val="00DE1A8A"/>
    <w:rsid w:val="00DE650B"/>
    <w:rsid w:val="00DF6142"/>
    <w:rsid w:val="00E03DEB"/>
    <w:rsid w:val="00E339CD"/>
    <w:rsid w:val="00E43115"/>
    <w:rsid w:val="00E65766"/>
    <w:rsid w:val="00E7563E"/>
    <w:rsid w:val="00EB0DF2"/>
    <w:rsid w:val="00EB2493"/>
    <w:rsid w:val="00ED4453"/>
    <w:rsid w:val="00F17F8F"/>
    <w:rsid w:val="00F52C86"/>
    <w:rsid w:val="00F8782C"/>
    <w:rsid w:val="00F96F15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EB2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56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62</cp:revision>
  <cp:lastPrinted>2024-01-25T11:49:00Z</cp:lastPrinted>
  <dcterms:created xsi:type="dcterms:W3CDTF">2024-01-25T07:21:00Z</dcterms:created>
  <dcterms:modified xsi:type="dcterms:W3CDTF">2024-07-19T11:37:00Z</dcterms:modified>
</cp:coreProperties>
</file>