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1F4F844" w14:textId="2128C25F" w:rsidR="003B2A78" w:rsidRDefault="009638DC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638DC">
        <w:rPr>
          <w:rFonts w:ascii="GHEA Grapalat" w:hAnsi="GHEA Grapalat"/>
          <w:b/>
          <w:sz w:val="24"/>
          <w:szCs w:val="24"/>
          <w:lang w:val="af-ZA"/>
        </w:rPr>
        <w:t>Հ</w:t>
      </w:r>
      <w:proofErr w:type="spellStart"/>
      <w:r w:rsidRPr="009638DC">
        <w:rPr>
          <w:rFonts w:ascii="GHEA Grapalat" w:hAnsi="GHEA Grapalat"/>
          <w:b/>
          <w:sz w:val="24"/>
          <w:szCs w:val="24"/>
          <w:lang w:val="hy-AM"/>
        </w:rPr>
        <w:t>այաստանի</w:t>
      </w:r>
      <w:proofErr w:type="spellEnd"/>
      <w:r w:rsidRPr="009638D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638DC">
        <w:rPr>
          <w:rFonts w:ascii="GHEA Grapalat" w:hAnsi="GHEA Grapalat"/>
          <w:b/>
          <w:sz w:val="24"/>
          <w:szCs w:val="24"/>
          <w:lang w:val="af-ZA"/>
        </w:rPr>
        <w:t>Հ</w:t>
      </w:r>
      <w:proofErr w:type="spellStart"/>
      <w:r w:rsidRPr="009638DC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proofErr w:type="spellEnd"/>
      <w:r w:rsidRPr="009638DC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Pr="009638DC">
        <w:rPr>
          <w:rFonts w:ascii="GHEA Grapalat" w:hAnsi="GHEA Grapalat"/>
          <w:b/>
          <w:bCs/>
          <w:sz w:val="24"/>
          <w:szCs w:val="24"/>
          <w:lang w:val="hy-AM"/>
        </w:rPr>
        <w:t>ֆինանսաբյուջետային վարչության հաշվարկային</w:t>
      </w:r>
      <w:r w:rsidRPr="009638D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B2A78" w:rsidRPr="00D6137A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բաժնի</w:t>
      </w:r>
      <w:r w:rsidR="003B2A78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A5D85C3" w14:textId="35B94F6C" w:rsidR="00C97522" w:rsidRPr="00D43768" w:rsidRDefault="003B2A7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13E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A9531FE" w14:textId="77777777" w:rsidR="009638DC" w:rsidRPr="009638DC" w:rsidRDefault="009638DC" w:rsidP="0052328E">
      <w:pPr>
        <w:pStyle w:val="NormalWeb"/>
        <w:numPr>
          <w:ilvl w:val="0"/>
          <w:numId w:val="22"/>
        </w:numPr>
        <w:shd w:val="clear" w:color="auto" w:fill="FEFEFE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-900" w:hanging="426"/>
        <w:rPr>
          <w:rFonts w:ascii="GHEA Grapalat" w:hAnsi="GHEA Grapalat"/>
          <w:color w:val="000000"/>
          <w:lang w:val="hy-AM"/>
        </w:rPr>
      </w:pPr>
      <w:bookmarkStart w:id="0" w:name="_Hlk178237725"/>
      <w:r w:rsidRPr="009638DC">
        <w:rPr>
          <w:rFonts w:ascii="GHEA Grapalat" w:hAnsi="GHEA Grapalat"/>
          <w:color w:val="000000"/>
          <w:lang w:val="hy-AM"/>
        </w:rPr>
        <w:t>իրականացնում է Նախարարության և նրան ենթակա պետական մարմինների ծառայողների (աշխատողների) աշխատավարձի անհատական քարտերի թղթային և/կամ էլեկտրոնային եղանակով, այդ թվում՝ դեբիտորական և կրեդիտորական պարտքերի անալիտիկ հաշվառման վարման աշխատանքները.</w:t>
      </w:r>
    </w:p>
    <w:bookmarkEnd w:id="0"/>
    <w:p w14:paraId="78ABC58B" w14:textId="77777777" w:rsidR="009638DC" w:rsidRPr="009638DC" w:rsidRDefault="009638DC" w:rsidP="0052328E">
      <w:pPr>
        <w:pStyle w:val="NormalWeb"/>
        <w:numPr>
          <w:ilvl w:val="0"/>
          <w:numId w:val="22"/>
        </w:numPr>
        <w:shd w:val="clear" w:color="auto" w:fill="FEFEFE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-900" w:hanging="426"/>
        <w:rPr>
          <w:rFonts w:ascii="GHEA Grapalat" w:hAnsi="GHEA Grapalat"/>
          <w:color w:val="000000"/>
          <w:lang w:val="hy-AM"/>
        </w:rPr>
      </w:pPr>
      <w:r w:rsidRPr="009638DC">
        <w:rPr>
          <w:rFonts w:ascii="GHEA Grapalat" w:hAnsi="GHEA Grapalat"/>
          <w:color w:val="000000"/>
          <w:lang w:val="hy-AM"/>
        </w:rPr>
        <w:t xml:space="preserve">իրականացնում է Նախարարության և նրան ենթակա պետական մարմինների ծառայողների (աշխատողների) տվյալների էլեկտրոնային եղանակով մուտքագրումը, գրանցումը, աշխատավարձի, </w:t>
      </w:r>
      <w:proofErr w:type="spellStart"/>
      <w:r w:rsidRPr="009638DC">
        <w:rPr>
          <w:rFonts w:ascii="GHEA Grapalat" w:hAnsi="GHEA Grapalat"/>
          <w:color w:val="000000"/>
          <w:lang w:val="hy-AM"/>
        </w:rPr>
        <w:t>պարգևատրումների</w:t>
      </w:r>
      <w:proofErr w:type="spellEnd"/>
      <w:r w:rsidRPr="009638DC">
        <w:rPr>
          <w:rFonts w:ascii="GHEA Grapalat" w:hAnsi="GHEA Grapalat"/>
          <w:color w:val="000000"/>
          <w:lang w:val="hy-AM"/>
        </w:rPr>
        <w:t xml:space="preserve">, այլ վճարումների տեղեկագրերի կազմումը, անհատական հաշվարկային թերթիկների (դրամական օգնություններ, անաշխատունակության նպաստներ, արձակուրդային վճարներ, կադրերի ռեզերվում գտնվող ծառայողների աշխատավարձ և այլն) հիմքով </w:t>
      </w:r>
      <w:proofErr w:type="spellStart"/>
      <w:r w:rsidRPr="009638DC">
        <w:rPr>
          <w:rFonts w:ascii="GHEA Grapalat" w:hAnsi="GHEA Grapalat"/>
          <w:color w:val="000000"/>
          <w:lang w:val="hy-AM"/>
        </w:rPr>
        <w:t>վճարացուցակների</w:t>
      </w:r>
      <w:proofErr w:type="spellEnd"/>
      <w:r w:rsidRPr="009638DC">
        <w:rPr>
          <w:rFonts w:ascii="GHEA Grapalat" w:hAnsi="GHEA Grapalat"/>
          <w:color w:val="000000"/>
          <w:lang w:val="hy-AM"/>
        </w:rPr>
        <w:t xml:space="preserve"> պատրաստումը և աշխատավարձի, </w:t>
      </w:r>
      <w:proofErr w:type="spellStart"/>
      <w:r w:rsidRPr="009638DC">
        <w:rPr>
          <w:rFonts w:ascii="GHEA Grapalat" w:hAnsi="GHEA Grapalat"/>
          <w:color w:val="000000"/>
          <w:lang w:val="hy-AM"/>
        </w:rPr>
        <w:t>պարգևատրումների</w:t>
      </w:r>
      <w:proofErr w:type="spellEnd"/>
      <w:r w:rsidRPr="009638DC">
        <w:rPr>
          <w:rFonts w:ascii="GHEA Grapalat" w:hAnsi="GHEA Grapalat"/>
          <w:color w:val="000000"/>
          <w:lang w:val="hy-AM"/>
        </w:rPr>
        <w:t>, այլ վճարումների հաշվարկների տրամադրումը համապատասխան բաժնին՝ վճարման համար</w:t>
      </w:r>
      <w:r w:rsidRPr="009638DC">
        <w:rPr>
          <w:rFonts w:ascii="Cambria Math" w:hAnsi="Cambria Math" w:cs="Cambria Math"/>
          <w:color w:val="000000"/>
          <w:lang w:val="hy-AM"/>
        </w:rPr>
        <w:t>․</w:t>
      </w:r>
    </w:p>
    <w:p w14:paraId="70C65849" w14:textId="77777777" w:rsidR="009638DC" w:rsidRPr="009638DC" w:rsidRDefault="009638DC" w:rsidP="0052328E">
      <w:pPr>
        <w:pStyle w:val="NormalWeb"/>
        <w:numPr>
          <w:ilvl w:val="0"/>
          <w:numId w:val="22"/>
        </w:numPr>
        <w:shd w:val="clear" w:color="auto" w:fill="FEFEFE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-900" w:hanging="426"/>
        <w:rPr>
          <w:rFonts w:ascii="GHEA Grapalat" w:hAnsi="GHEA Grapalat"/>
          <w:color w:val="000000"/>
          <w:lang w:val="hy-AM"/>
        </w:rPr>
      </w:pPr>
      <w:r w:rsidRPr="009638DC">
        <w:rPr>
          <w:rFonts w:ascii="GHEA Grapalat" w:hAnsi="GHEA Grapalat"/>
          <w:color w:val="000000"/>
          <w:lang w:val="hy-AM"/>
        </w:rPr>
        <w:t xml:space="preserve">իրականացնում է Նախարարության և նրան ենթակա պետական մարմինների ծառայողների (աշխատողների) սոցիալական փաթեթի գումարների հաշվարկումը, </w:t>
      </w:r>
      <w:proofErr w:type="spellStart"/>
      <w:r w:rsidRPr="009638DC">
        <w:rPr>
          <w:rFonts w:ascii="GHEA Grapalat" w:hAnsi="GHEA Grapalat"/>
          <w:color w:val="000000"/>
          <w:lang w:val="hy-AM"/>
        </w:rPr>
        <w:t>վճարացուցակների</w:t>
      </w:r>
      <w:proofErr w:type="spellEnd"/>
      <w:r w:rsidRPr="009638DC">
        <w:rPr>
          <w:rFonts w:ascii="GHEA Grapalat" w:hAnsi="GHEA Grapalat"/>
          <w:color w:val="000000"/>
          <w:lang w:val="hy-AM"/>
        </w:rPr>
        <w:t xml:space="preserve"> պատրաստումը և վճարումների գրանցումը</w:t>
      </w:r>
      <w:r w:rsidRPr="009638DC">
        <w:rPr>
          <w:rFonts w:ascii="Cambria Math" w:hAnsi="Cambria Math" w:cs="Cambria Math"/>
          <w:color w:val="000000"/>
          <w:lang w:val="hy-AM"/>
        </w:rPr>
        <w:t>․</w:t>
      </w:r>
    </w:p>
    <w:p w14:paraId="0435CCDA" w14:textId="77777777" w:rsidR="009638DC" w:rsidRPr="009638DC" w:rsidRDefault="009638DC" w:rsidP="0052328E">
      <w:pPr>
        <w:pStyle w:val="NormalWeb"/>
        <w:numPr>
          <w:ilvl w:val="0"/>
          <w:numId w:val="22"/>
        </w:numPr>
        <w:shd w:val="clear" w:color="auto" w:fill="FEFEFE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-900" w:hanging="426"/>
        <w:rPr>
          <w:rFonts w:ascii="GHEA Grapalat" w:hAnsi="GHEA Grapalat"/>
          <w:color w:val="000000"/>
          <w:lang w:val="hy-AM"/>
        </w:rPr>
      </w:pPr>
      <w:bookmarkStart w:id="1" w:name="_Hlk178237967"/>
      <w:r w:rsidRPr="009638DC">
        <w:rPr>
          <w:rFonts w:ascii="GHEA Grapalat" w:hAnsi="GHEA Grapalat"/>
          <w:color w:val="000000"/>
          <w:lang w:val="hy-AM"/>
        </w:rPr>
        <w:t xml:space="preserve">իրականացնում է հաշվարկների անալիտիկ հաշվառումը, այդ հաշվարկների շարժի և մնացորդների ամփոփման և </w:t>
      </w:r>
      <w:proofErr w:type="spellStart"/>
      <w:r w:rsidRPr="009638DC">
        <w:rPr>
          <w:rFonts w:ascii="GHEA Grapalat" w:hAnsi="GHEA Grapalat"/>
          <w:color w:val="000000"/>
          <w:lang w:val="hy-AM"/>
        </w:rPr>
        <w:t>մեմորյալ</w:t>
      </w:r>
      <w:proofErr w:type="spellEnd"/>
      <w:r w:rsidRPr="009638DC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Pr="009638DC">
        <w:rPr>
          <w:rFonts w:ascii="GHEA Grapalat" w:hAnsi="GHEA Grapalat"/>
          <w:color w:val="000000"/>
          <w:lang w:val="hy-AM"/>
        </w:rPr>
        <w:t>օրդերների</w:t>
      </w:r>
      <w:proofErr w:type="spellEnd"/>
      <w:r w:rsidRPr="009638DC">
        <w:rPr>
          <w:rFonts w:ascii="GHEA Grapalat" w:hAnsi="GHEA Grapalat"/>
          <w:color w:val="000000"/>
          <w:lang w:val="hy-AM"/>
        </w:rPr>
        <w:t xml:space="preserve"> կազմումը</w:t>
      </w:r>
      <w:bookmarkEnd w:id="1"/>
      <w:r w:rsidRPr="009638DC">
        <w:rPr>
          <w:rFonts w:ascii="Cambria Math" w:hAnsi="Cambria Math" w:cs="Cambria Math"/>
          <w:color w:val="000000"/>
          <w:lang w:val="hy-AM"/>
        </w:rPr>
        <w:t>․</w:t>
      </w:r>
    </w:p>
    <w:p w14:paraId="1F008311" w14:textId="77777777" w:rsidR="009638DC" w:rsidRPr="009638DC" w:rsidRDefault="009638DC" w:rsidP="0052328E">
      <w:pPr>
        <w:pStyle w:val="NormalWeb"/>
        <w:numPr>
          <w:ilvl w:val="0"/>
          <w:numId w:val="22"/>
        </w:numPr>
        <w:shd w:val="clear" w:color="auto" w:fill="FEFEFE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-900" w:hanging="426"/>
        <w:rPr>
          <w:rFonts w:ascii="GHEA Grapalat" w:hAnsi="GHEA Grapalat"/>
          <w:color w:val="000000"/>
          <w:lang w:val="hy-AM"/>
        </w:rPr>
      </w:pPr>
      <w:r w:rsidRPr="009638DC">
        <w:rPr>
          <w:rFonts w:ascii="GHEA Grapalat" w:hAnsi="GHEA Grapalat"/>
          <w:color w:val="000000"/>
          <w:lang w:val="hy-AM"/>
        </w:rPr>
        <w:t>իրականացնում է Նախարարության, նրան ենթակա պետական մարմինների կառուցվածքային ստորաբաժանումների կողմից ներկայացված «Աշխատողների աշխատաժամանակի հաշվարկի տեղեկագրերի» հաշվառումը</w:t>
      </w:r>
      <w:r w:rsidRPr="009638DC">
        <w:rPr>
          <w:rFonts w:ascii="Cambria Math" w:hAnsi="Cambria Math" w:cs="Cambria Math"/>
          <w:color w:val="000000"/>
          <w:lang w:val="hy-AM"/>
        </w:rPr>
        <w:t>․</w:t>
      </w:r>
    </w:p>
    <w:p w14:paraId="71B0DBAB" w14:textId="77777777" w:rsidR="009638DC" w:rsidRPr="009638DC" w:rsidRDefault="009638DC" w:rsidP="0052328E">
      <w:pPr>
        <w:pStyle w:val="NormalWeb"/>
        <w:numPr>
          <w:ilvl w:val="0"/>
          <w:numId w:val="22"/>
        </w:numPr>
        <w:shd w:val="clear" w:color="auto" w:fill="FEFEFE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-900" w:hanging="426"/>
        <w:rPr>
          <w:rFonts w:ascii="GHEA Grapalat" w:hAnsi="GHEA Grapalat"/>
          <w:color w:val="000000"/>
          <w:lang w:val="hy-AM"/>
        </w:rPr>
      </w:pPr>
      <w:bookmarkStart w:id="2" w:name="_Hlk178238069"/>
      <w:r w:rsidRPr="009638DC">
        <w:rPr>
          <w:rFonts w:ascii="GHEA Grapalat" w:hAnsi="GHEA Grapalat"/>
          <w:color w:val="000000"/>
          <w:lang w:val="hy-AM"/>
        </w:rPr>
        <w:t>իրականացնում է Նախարարության և նրան ենթակա պետական մարմինների ծառայողներին (աշխատողներին)` աշխատավարձի չափի վերաբերյալ տեղեկանքների կազմումը.</w:t>
      </w:r>
    </w:p>
    <w:bookmarkEnd w:id="2"/>
    <w:p w14:paraId="28E82DAD" w14:textId="77777777" w:rsidR="009638DC" w:rsidRPr="009638DC" w:rsidRDefault="009638DC" w:rsidP="0052328E">
      <w:pPr>
        <w:pStyle w:val="NormalWeb"/>
        <w:numPr>
          <w:ilvl w:val="0"/>
          <w:numId w:val="22"/>
        </w:numPr>
        <w:shd w:val="clear" w:color="auto" w:fill="FEFEFE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-900" w:hanging="426"/>
        <w:rPr>
          <w:rFonts w:ascii="GHEA Grapalat" w:hAnsi="GHEA Grapalat"/>
          <w:color w:val="000000"/>
          <w:lang w:val="hy-AM"/>
        </w:rPr>
      </w:pPr>
      <w:r w:rsidRPr="009638DC">
        <w:rPr>
          <w:rFonts w:ascii="GHEA Grapalat" w:hAnsi="GHEA Grapalat"/>
          <w:color w:val="000000"/>
          <w:lang w:val="hy-AM"/>
        </w:rPr>
        <w:t>իրականացնում է եկամտային հարկի և սոցիալական վճարի ամսական ամփոփ հաշվետվության հարկային մարմնին ներկայացնելու աշխատանքները.</w:t>
      </w:r>
    </w:p>
    <w:p w14:paraId="6E2D17BE" w14:textId="77777777" w:rsidR="009638DC" w:rsidRPr="009638DC" w:rsidRDefault="009638DC" w:rsidP="0052328E">
      <w:pPr>
        <w:pStyle w:val="NormalWeb"/>
        <w:numPr>
          <w:ilvl w:val="0"/>
          <w:numId w:val="22"/>
        </w:numPr>
        <w:shd w:val="clear" w:color="auto" w:fill="FEFEFE"/>
        <w:tabs>
          <w:tab w:val="clear" w:pos="720"/>
          <w:tab w:val="num" w:pos="142"/>
        </w:tabs>
        <w:spacing w:before="0" w:beforeAutospacing="0" w:after="0" w:afterAutospacing="0" w:line="276" w:lineRule="auto"/>
        <w:ind w:left="142" w:right="-900" w:hanging="426"/>
        <w:rPr>
          <w:rFonts w:ascii="GHEA Grapalat" w:hAnsi="GHEA Grapalat"/>
          <w:color w:val="000000"/>
          <w:lang w:val="hy-AM"/>
        </w:rPr>
      </w:pPr>
      <w:bookmarkStart w:id="3" w:name="_Hlk178238149"/>
      <w:r w:rsidRPr="009638DC">
        <w:rPr>
          <w:rFonts w:ascii="GHEA Grapalat" w:hAnsi="GHEA Grapalat"/>
          <w:color w:val="000000"/>
          <w:lang w:val="hy-AM"/>
        </w:rPr>
        <w:t>իրականացնում</w:t>
      </w:r>
      <w:r w:rsidRPr="009638DC">
        <w:rPr>
          <w:rFonts w:ascii="Calibri" w:hAnsi="Calibri" w:cs="Calibri"/>
          <w:color w:val="000000"/>
          <w:lang w:val="hy-AM"/>
        </w:rPr>
        <w:t> </w:t>
      </w:r>
      <w:r w:rsidRPr="009638DC">
        <w:rPr>
          <w:rFonts w:ascii="GHEA Grapalat" w:hAnsi="GHEA Grapalat"/>
          <w:color w:val="000000"/>
          <w:lang w:val="hy-AM"/>
        </w:rPr>
        <w:t>է Հարկադիր կատարումն ապահովող ծառայությունից ստացված որոշումների հիման վրա Նախարարության քաղաքական, հայեցողական պաշտոններ զբաղեցնող անձանց, Նախարարության կառուցվածքային ստորաբաժանումների և Նախարարությանը ենթակա պետական մարմինների</w:t>
      </w:r>
      <w:r w:rsidRPr="009638DC">
        <w:rPr>
          <w:rFonts w:ascii="Calibri" w:hAnsi="Calibri" w:cs="Calibri"/>
          <w:color w:val="000000"/>
          <w:lang w:val="hy-AM"/>
        </w:rPr>
        <w:t> </w:t>
      </w:r>
      <w:r w:rsidRPr="009638DC">
        <w:rPr>
          <w:rFonts w:ascii="GHEA Grapalat" w:hAnsi="GHEA Grapalat"/>
          <w:color w:val="000000"/>
          <w:lang w:val="hy-AM"/>
        </w:rPr>
        <w:t>ծառայողների (աշխատողների) աշխատավարձից պահվող գումարների հաշվարկման</w:t>
      </w:r>
      <w:r w:rsidRPr="009638DC">
        <w:rPr>
          <w:rFonts w:ascii="Calibri" w:hAnsi="Calibri" w:cs="Calibri"/>
          <w:color w:val="000000"/>
          <w:lang w:val="hy-AM"/>
        </w:rPr>
        <w:t> </w:t>
      </w:r>
      <w:r w:rsidRPr="009638DC">
        <w:rPr>
          <w:rFonts w:ascii="GHEA Grapalat" w:hAnsi="GHEA Grapalat"/>
          <w:color w:val="000000"/>
          <w:lang w:val="hy-AM"/>
        </w:rPr>
        <w:t>գործընթացը</w:t>
      </w:r>
      <w:bookmarkEnd w:id="3"/>
      <w:r w:rsidRPr="009638DC">
        <w:rPr>
          <w:rFonts w:ascii="GHEA Grapalat" w:hAnsi="GHEA Grapalat"/>
          <w:color w:val="000000"/>
          <w:lang w:val="hy-AM"/>
        </w:rPr>
        <w:t>.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2A73C3D5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345308" w:rsidRPr="00345308">
        <w:rPr>
          <w:rFonts w:ascii="GHEA Grapalat" w:eastAsia="Calibri" w:hAnsi="GHEA Grapalat" w:cs="Times New Roman"/>
          <w:b/>
          <w:sz w:val="24"/>
          <w:szCs w:val="24"/>
          <w:lang w:val="hy-AM"/>
        </w:rPr>
        <w:t>67</w:t>
      </w:r>
      <w:r w:rsidR="00AD26F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345308" w:rsidRPr="00345308">
        <w:rPr>
          <w:rFonts w:ascii="GHEA Grapalat" w:eastAsia="Calibri" w:hAnsi="GHEA Grapalat" w:cs="Times New Roman"/>
          <w:b/>
          <w:sz w:val="24"/>
          <w:szCs w:val="24"/>
          <w:lang w:val="hy-AM"/>
        </w:rPr>
        <w:t>072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65AB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հարյուր</w:t>
      </w:r>
      <w:r w:rsidR="00345308" w:rsidRPr="0034530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34530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proofErr w:type="spellEnd"/>
      <w:r w:rsidR="0034530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proofErr w:type="spellStart"/>
      <w:r w:rsidR="0034530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յոթանասուներկու</w:t>
      </w:r>
      <w:proofErr w:type="spellEnd"/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DDC3055" w14:textId="4E48A1B0" w:rsidR="009638DC" w:rsidRPr="009638DC" w:rsidRDefault="009638DC" w:rsidP="009638DC">
      <w:pPr>
        <w:pStyle w:val="ListParagraph"/>
        <w:numPr>
          <w:ilvl w:val="0"/>
          <w:numId w:val="23"/>
        </w:numPr>
        <w:tabs>
          <w:tab w:val="left" w:pos="0"/>
          <w:tab w:val="left" w:pos="567"/>
          <w:tab w:val="left" w:pos="1710"/>
        </w:tabs>
        <w:spacing w:after="0" w:line="240" w:lineRule="auto"/>
        <w:ind w:left="-142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638DC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4337122F" w14:textId="1E0C52B2" w:rsidR="009638DC" w:rsidRPr="009638DC" w:rsidRDefault="009638DC" w:rsidP="009638DC">
      <w:pPr>
        <w:pStyle w:val="ListParagraph"/>
        <w:numPr>
          <w:ilvl w:val="0"/>
          <w:numId w:val="23"/>
        </w:numPr>
        <w:tabs>
          <w:tab w:val="left" w:pos="0"/>
          <w:tab w:val="left" w:pos="567"/>
          <w:tab w:val="left" w:pos="1710"/>
        </w:tabs>
        <w:spacing w:after="0" w:line="240" w:lineRule="auto"/>
        <w:ind w:left="-142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638DC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9638DC">
        <w:rPr>
          <w:rFonts w:ascii="Cambria Math" w:hAnsi="Cambria Math" w:cs="Cambria Math"/>
          <w:sz w:val="24"/>
          <w:szCs w:val="24"/>
          <w:lang w:val="hy-AM"/>
        </w:rPr>
        <w:t>․</w:t>
      </w:r>
      <w:r w:rsidRPr="009638D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F62E087" w14:textId="0301EBD1" w:rsidR="009638DC" w:rsidRPr="009638DC" w:rsidRDefault="009638DC" w:rsidP="009638DC">
      <w:pPr>
        <w:pStyle w:val="ListParagraph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-142" w:hanging="142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638DC">
        <w:rPr>
          <w:rFonts w:ascii="GHEA Grapalat" w:hAnsi="GHEA Grapalat"/>
          <w:sz w:val="24"/>
          <w:szCs w:val="24"/>
          <w:lang w:val="hy-AM"/>
        </w:rPr>
        <w:t>հանրային ծառայության առնվազն երկու տարվա ստաժ կամ երեք տարվա</w:t>
      </w:r>
      <w:r w:rsidR="00BF6D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38DC">
        <w:rPr>
          <w:rFonts w:ascii="GHEA Grapalat" w:hAnsi="GHEA Grapalat"/>
          <w:sz w:val="24"/>
          <w:szCs w:val="24"/>
          <w:lang w:val="hy-AM"/>
        </w:rPr>
        <w:t>մասնագիտական աշխատանքային ստաժ կամ ֆինանսավարկային կամ տնտեսագիտության բնագավառում՝ երեք տարվա աշխատանքային ստաժ։</w:t>
      </w:r>
      <w:r w:rsidRPr="009638D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14:paraId="100EC772" w14:textId="17C1BE7C" w:rsidR="009638DC" w:rsidRPr="009638DC" w:rsidRDefault="009638DC" w:rsidP="00CD4C67">
      <w:pPr>
        <w:pStyle w:val="ListParagraph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-142" w:right="-9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9638DC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9638DC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9638DC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F5BF49D" w14:textId="7EB54EE5" w:rsidR="009638DC" w:rsidRPr="009638DC" w:rsidRDefault="009638DC" w:rsidP="009638DC">
      <w:pPr>
        <w:pStyle w:val="ListParagraph"/>
        <w:numPr>
          <w:ilvl w:val="0"/>
          <w:numId w:val="23"/>
        </w:numPr>
        <w:tabs>
          <w:tab w:val="left" w:pos="0"/>
          <w:tab w:val="left" w:pos="567"/>
        </w:tabs>
        <w:spacing w:after="0" w:line="240" w:lineRule="auto"/>
        <w:ind w:left="-142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638DC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9638DC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34402BC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638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հոկտեմբերի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638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A2A2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28DBFC0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4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4"/>
      <w:proofErr w:type="spellStart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9638D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Ծովակալ </w:t>
      </w:r>
      <w:proofErr w:type="spellStart"/>
      <w:r w:rsidR="009638D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Իսակովի</w:t>
      </w:r>
      <w:proofErr w:type="spellEnd"/>
      <w:r w:rsidR="009638D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9</w:t>
      </w:r>
      <w:r w:rsidR="00BF6DE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36474F">
        <w:fldChar w:fldCharType="begin"/>
      </w:r>
      <w:r w:rsidR="0036474F" w:rsidRPr="00931DCF">
        <w:rPr>
          <w:lang w:val="hy-AM"/>
        </w:rPr>
        <w:instrText xml:space="preserve"> HYPERLINK "https://www.mineconomy.am/media/21755/hayt-1.docx" </w:instrText>
      </w:r>
      <w:r w:rsidR="0036474F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36474F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</w:t>
      </w:r>
      <w:r w:rsidR="000E1FC6" w:rsidRPr="00F46099">
        <w:rPr>
          <w:rFonts w:ascii="GHEA Grapalat" w:hAnsi="GHEA Grapalat" w:cs="Segoe UI"/>
          <w:b/>
          <w:bCs/>
          <w:lang w:val="hy-AM"/>
        </w:rPr>
        <w:t>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34A2205"/>
    <w:multiLevelType w:val="hybridMultilevel"/>
    <w:tmpl w:val="8C68EE4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A1620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42A02"/>
    <w:multiLevelType w:val="multilevel"/>
    <w:tmpl w:val="96F4AA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6"/>
  </w:num>
  <w:num w:numId="7">
    <w:abstractNumId w:val="17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20"/>
  </w:num>
  <w:num w:numId="18">
    <w:abstractNumId w:val="9"/>
  </w:num>
  <w:num w:numId="19">
    <w:abstractNumId w:val="15"/>
  </w:num>
  <w:num w:numId="20">
    <w:abstractNumId w:val="2"/>
  </w:num>
  <w:num w:numId="21">
    <w:abstractNumId w:val="18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35E08"/>
    <w:rsid w:val="000462FC"/>
    <w:rsid w:val="000514AF"/>
    <w:rsid w:val="000709FF"/>
    <w:rsid w:val="00073E37"/>
    <w:rsid w:val="000839A3"/>
    <w:rsid w:val="000876C6"/>
    <w:rsid w:val="000A2032"/>
    <w:rsid w:val="000A2A28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369FB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6474F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2328E"/>
    <w:rsid w:val="0053614C"/>
    <w:rsid w:val="00540DA5"/>
    <w:rsid w:val="00555CC1"/>
    <w:rsid w:val="00580E3A"/>
    <w:rsid w:val="005A31DE"/>
    <w:rsid w:val="005B777D"/>
    <w:rsid w:val="005B790E"/>
    <w:rsid w:val="005C19E4"/>
    <w:rsid w:val="005C3BF5"/>
    <w:rsid w:val="005C4DB2"/>
    <w:rsid w:val="005C4FBB"/>
    <w:rsid w:val="005E6E54"/>
    <w:rsid w:val="006017C1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1DCF"/>
    <w:rsid w:val="009333E7"/>
    <w:rsid w:val="00943CDB"/>
    <w:rsid w:val="00947005"/>
    <w:rsid w:val="0096163F"/>
    <w:rsid w:val="009638DC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BF6DE3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D4C67"/>
    <w:rsid w:val="00CE0E9E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47DEF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46099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kadrer3</cp:lastModifiedBy>
  <cp:revision>151</cp:revision>
  <cp:lastPrinted>2023-12-22T11:31:00Z</cp:lastPrinted>
  <dcterms:created xsi:type="dcterms:W3CDTF">2023-11-15T05:33:00Z</dcterms:created>
  <dcterms:modified xsi:type="dcterms:W3CDTF">2024-09-27T12:03:00Z</dcterms:modified>
</cp:coreProperties>
</file>