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 xml:space="preserve">5-Մ2-38)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C661EF" w:rsidRPr="00C661EF">
        <w:rPr>
          <w:rFonts w:ascii="GHEA Grapalat" w:hAnsi="GHEA Grapalat"/>
          <w:lang w:val="hy-AM" w:eastAsia="hy-AM"/>
        </w:rPr>
        <w:t>Էրեբունի վարչական շրջան, Խորենացու 162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F81F18" w:rsidRPr="00F81F18" w:rsidRDefault="00F81F18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5-Մ2-38)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5-Մ2-38)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5-Մ2-38)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  <w:bookmarkStart w:id="0" w:name="_GoBack"/>
        <w:bookmarkEnd w:id="0"/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30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04.10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509D2">
        <w:rPr>
          <w:rFonts w:ascii="GHEA Grapalat" w:eastAsia="Times New Roman" w:hAnsi="GHEA Grapalat" w:cs="Times New Roman"/>
          <w:b/>
          <w:lang w:val="hy-AM"/>
        </w:rPr>
        <w:t>նոյեմբերի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509D2">
        <w:rPr>
          <w:rFonts w:ascii="GHEA Grapalat" w:eastAsia="Times New Roman" w:hAnsi="GHEA Grapalat" w:cs="Times New Roman"/>
          <w:b/>
          <w:lang w:val="hy-AM"/>
        </w:rPr>
        <w:t>01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B42E81">
        <w:rPr>
          <w:rFonts w:ascii="GHEA Grapalat" w:eastAsia="Times New Roman" w:hAnsi="GHEA Grapalat" w:cs="Times New Roman"/>
          <w:b/>
          <w:lang w:val="hy-AM"/>
        </w:rPr>
        <w:t>նոյեմբերի 05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lastRenderedPageBreak/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0D5A47" w:rsidRDefault="000D5A47" w:rsidP="000D5A4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0D5A47"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 w:rsidRPr="000D5A47">
        <w:rPr>
          <w:rFonts w:ascii="Cambria Math" w:hAnsi="Cambria Math" w:cs="Cambria Math"/>
          <w:color w:val="000000" w:themeColor="text1"/>
          <w:lang w:val="hy-AM"/>
        </w:rPr>
        <w:t>․</w:t>
      </w:r>
      <w:r w:rsidRPr="000D5A47">
        <w:rPr>
          <w:rFonts w:ascii="GHEA Grapalat" w:hAnsi="GHEA Grapalat" w:cs="Sylfaen"/>
          <w:color w:val="000000" w:themeColor="text1"/>
          <w:lang w:val="hy-AM"/>
        </w:rPr>
        <w:t xml:space="preserve"> հոդվածներ՝ 3-13</w:t>
      </w:r>
    </w:p>
    <w:p w:rsidR="006E430C" w:rsidRPr="0015776C" w:rsidRDefault="006E430C" w:rsidP="000D5A4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="00195673" w:rsidRPr="00195673">
        <w:rPr>
          <w:rFonts w:ascii="GHEA Grapalat" w:hAnsi="GHEA Grapalat" w:cs="Sylfaen"/>
          <w:color w:val="000000" w:themeColor="text1"/>
          <w:lang w:val="hy-AM"/>
        </w:rPr>
        <w:t>https://www.arlis.am/documentview.aspx?docid=175858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3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DE1483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C73FE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5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477A5"/>
    <w:rsid w:val="00350481"/>
    <w:rsid w:val="00351D53"/>
    <w:rsid w:val="00352579"/>
    <w:rsid w:val="00356E89"/>
    <w:rsid w:val="003631ED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37140"/>
    <w:rsid w:val="00847EF7"/>
    <w:rsid w:val="00850BB5"/>
    <w:rsid w:val="00852AAA"/>
    <w:rsid w:val="008541B1"/>
    <w:rsid w:val="008650F5"/>
    <w:rsid w:val="00865D69"/>
    <w:rsid w:val="00881AB7"/>
    <w:rsid w:val="00895446"/>
    <w:rsid w:val="008A089D"/>
    <w:rsid w:val="008A18C8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09D2"/>
    <w:rsid w:val="00957E67"/>
    <w:rsid w:val="009735DB"/>
    <w:rsid w:val="00981DDD"/>
    <w:rsid w:val="00986710"/>
    <w:rsid w:val="00996757"/>
    <w:rsid w:val="009A4BD1"/>
    <w:rsid w:val="009C0F0D"/>
    <w:rsid w:val="009C7C4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1542C"/>
    <w:rsid w:val="00B21CB0"/>
    <w:rsid w:val="00B22456"/>
    <w:rsid w:val="00B321F7"/>
    <w:rsid w:val="00B33C68"/>
    <w:rsid w:val="00B42E81"/>
    <w:rsid w:val="00B60005"/>
    <w:rsid w:val="00B66F4E"/>
    <w:rsid w:val="00B802A6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E6F1A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31E7D"/>
    <w:rsid w:val="00F34C7C"/>
    <w:rsid w:val="00F35167"/>
    <w:rsid w:val="00F44569"/>
    <w:rsid w:val="00F57AEF"/>
    <w:rsid w:val="00F607F6"/>
    <w:rsid w:val="00F81F18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asue.am/open/5979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AED0-E04A-4866-84EF-CEC9B9B2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377</cp:revision>
  <dcterms:created xsi:type="dcterms:W3CDTF">2024-04-30T05:48:00Z</dcterms:created>
  <dcterms:modified xsi:type="dcterms:W3CDTF">2024-09-30T09:26:00Z</dcterms:modified>
</cp:coreProperties>
</file>