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9CAA" w14:textId="77777777" w:rsidR="008F4243" w:rsidRPr="001D6D70" w:rsidRDefault="008F4243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55EBBE" w14:textId="77777777" w:rsidR="008F4243" w:rsidRPr="00EC4C32" w:rsidRDefault="00F6742E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C41A487" w14:textId="61AC5FA7" w:rsidR="00905814" w:rsidRPr="00EC4C32" w:rsidRDefault="003D095C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E6030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28E8" w:rsidRPr="00E60308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D76C8" w:rsidRPr="003D76C8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ԳՈՒԳԱՐՔԻ ՀՐՇԵՋ-ՓՐԿԱՐԱՐԱԿԱՆ ՋՈԿԱՏԻ ՀՐԱՄԱՆԱՏԱՐ (ԾԱԾԿԱԳԻՐ` 27-2ՓԾ-25.14-Ա-22)</w:t>
      </w:r>
      <w:r w:rsidR="003D76C8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660D66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3B8B8197" w:rsidR="00905814" w:rsidRPr="002F0E55" w:rsidRDefault="002F0E55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660D66">
        <w:rPr>
          <w:rFonts w:ascii="GHEA Grapalat" w:hAnsi="GHEA Grapalat"/>
          <w:sz w:val="24"/>
          <w:szCs w:val="24"/>
          <w:lang w:val="hy-AM"/>
        </w:rPr>
        <w:t>ներ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D76C8">
        <w:rPr>
          <w:rFonts w:ascii="GHEA Grapalat" w:hAnsi="GHEA Grapalat"/>
          <w:b/>
          <w:sz w:val="24"/>
          <w:szCs w:val="24"/>
          <w:lang w:val="hy-AM"/>
        </w:rPr>
        <w:t>Լոռու մարզային փրկարարական վարչության Գուգարքի հրշեջ-փրկարարական ջոկատի հրամանատարի (ծածկագիր` 27-2ՓԾ-25.14-Ա-22)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</w:t>
      </w:r>
      <w:bookmarkStart w:id="2" w:name="_GoBack"/>
      <w:bookmarkEnd w:id="2"/>
      <w:r w:rsidR="00126234" w:rsidRPr="002F0E55">
        <w:rPr>
          <w:rFonts w:ascii="GHEA Grapalat" w:hAnsi="GHEA Grapalat"/>
          <w:sz w:val="24"/>
          <w:szCs w:val="24"/>
          <w:lang w:val="hy-AM"/>
        </w:rPr>
        <w:t>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492D7449" w:rsidR="00905814" w:rsidRPr="002F0E55" w:rsidRDefault="003D095C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53881646"/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76C8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Գուգարքի հրշեջ-փրկարարական ջոկատի հրամանատարի (ծածկագիր` 27-2ՓԾ-25.14-Ա-22)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3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6D0AF71" w14:textId="5E73F1A1" w:rsidR="00905814" w:rsidRPr="002F0E55" w:rsidRDefault="005E0420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76C8">
        <w:rPr>
          <w:rFonts w:ascii="GHEA Grapalat" w:hAnsi="GHEA Grapalat"/>
          <w:sz w:val="24"/>
          <w:szCs w:val="24"/>
          <w:lang w:val="hy-AM"/>
        </w:rPr>
        <w:t>Լոռու մարզային փրկարարական վարչության Գուգարքի հրշեջ-փրկարարական ջոկատի հրամանատարի (ծածկագիր` 27-2ՓԾ-25.14-Ա-22)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09B653B2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2B584BE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8B245E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6A2FFFA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E6EF8E4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4F132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E9E8E37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23C2C606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0233995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108E6B2F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2B2B5FB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CFC28B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0B3AA3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79695E4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07011A5B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05CD6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96E9A6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C8E41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6CD395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1FDF172" w14:textId="77777777" w:rsidR="0024492E" w:rsidRPr="00C007F4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89231D8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2E389A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B8F24DB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D85A2EC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AC82EDE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CBAF383" w14:textId="77777777" w:rsidR="002E389A" w:rsidRDefault="002E389A" w:rsidP="002E38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7EC4AC0E" w14:textId="77777777" w:rsidR="002E389A" w:rsidRPr="002E389A" w:rsidRDefault="002E389A" w:rsidP="002E389A">
      <w:pPr>
        <w:rPr>
          <w:lang w:val="hy-AM"/>
        </w:rPr>
      </w:pPr>
    </w:p>
    <w:p w14:paraId="52F99F28" w14:textId="2FDC1F81" w:rsidR="00F6758C" w:rsidRPr="0024492E" w:rsidRDefault="00B26AE2" w:rsidP="0024492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08C7">
        <w:rPr>
          <w:rFonts w:ascii="GHEA Grapalat" w:hAnsi="GHEA Grapalat"/>
          <w:sz w:val="24"/>
          <w:szCs w:val="24"/>
          <w:lang w:val="hy-AM"/>
        </w:rPr>
        <w:t>3</w:t>
      </w:r>
      <w:r w:rsidRPr="001772FE">
        <w:rPr>
          <w:rFonts w:ascii="GHEA Grapalat" w:hAnsi="GHEA Grapalat"/>
          <w:sz w:val="24"/>
          <w:szCs w:val="24"/>
          <w:lang w:val="hy-AM"/>
        </w:rPr>
        <w:t>66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72FE">
        <w:rPr>
          <w:rFonts w:ascii="GHEA Grapalat" w:hAnsi="GHEA Grapalat"/>
          <w:sz w:val="24"/>
          <w:szCs w:val="24"/>
          <w:lang w:val="hy-AM"/>
        </w:rPr>
        <w:t>912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վաթսունվեց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ինը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տասներկու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2DA89BA" w14:textId="697F47FD" w:rsidR="00660D66" w:rsidRDefault="00660D66" w:rsidP="0024492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4E2962A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23A78AD2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8571A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2E1D16D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7C2C0B5A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BC63D9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164F41E5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9F9B4C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B1599C8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6B99282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8363AA7" w14:textId="77777777" w:rsidR="00660D66" w:rsidRPr="00660D66" w:rsidRDefault="00660D66" w:rsidP="00E60308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7374DFB2" w14:textId="77777777" w:rsidR="00660D66" w:rsidRP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65B6B75B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DA51C77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241C51E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33D91B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001CA60C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1AC78A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2C65E748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66777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B79F358" w14:textId="23684BC4" w:rsidR="0069432B" w:rsidRDefault="002F0E55" w:rsidP="00E6030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82D7FB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CA48356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E4F5B32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456A8F2A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031DCB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269ABEED" w14:textId="77777777" w:rsidR="002E389A" w:rsidRDefault="002E389A" w:rsidP="002E389A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FE942E7" w14:textId="2AB16BB6" w:rsidR="007C7E12" w:rsidRPr="007C7E12" w:rsidRDefault="007C7E12" w:rsidP="0024492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3B72C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4A31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492E"/>
    <w:rsid w:val="00245D17"/>
    <w:rsid w:val="00266BD3"/>
    <w:rsid w:val="00280C58"/>
    <w:rsid w:val="002C4D58"/>
    <w:rsid w:val="002C6CBC"/>
    <w:rsid w:val="002E389A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B72CD"/>
    <w:rsid w:val="003D095C"/>
    <w:rsid w:val="003D5F72"/>
    <w:rsid w:val="003D76C8"/>
    <w:rsid w:val="003E656A"/>
    <w:rsid w:val="003F0663"/>
    <w:rsid w:val="003F0AF1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60D66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05BC4"/>
    <w:rsid w:val="00822872"/>
    <w:rsid w:val="00825C25"/>
    <w:rsid w:val="008455FD"/>
    <w:rsid w:val="00854773"/>
    <w:rsid w:val="00865AE7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62E"/>
    <w:rsid w:val="00BD3FA0"/>
    <w:rsid w:val="00BD767E"/>
    <w:rsid w:val="00BF2F86"/>
    <w:rsid w:val="00C0180D"/>
    <w:rsid w:val="00C024AD"/>
    <w:rsid w:val="00C26429"/>
    <w:rsid w:val="00C37FBD"/>
    <w:rsid w:val="00C405F2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60308"/>
    <w:rsid w:val="00E80E82"/>
    <w:rsid w:val="00E81ED4"/>
    <w:rsid w:val="00E90557"/>
    <w:rsid w:val="00E96838"/>
    <w:rsid w:val="00EC4C32"/>
    <w:rsid w:val="00F27B98"/>
    <w:rsid w:val="00F47F26"/>
    <w:rsid w:val="00F6742E"/>
    <w:rsid w:val="00F6758C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10850-5D15-4D70-94AE-AC27155F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129</cp:revision>
  <dcterms:created xsi:type="dcterms:W3CDTF">2020-09-15T06:15:00Z</dcterms:created>
  <dcterms:modified xsi:type="dcterms:W3CDTF">2024-10-07T12:54:00Z</dcterms:modified>
</cp:coreProperties>
</file>