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455B015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E848EA"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="00E848EA" w:rsidRPr="0014419D">
        <w:rPr>
          <w:rFonts w:ascii="GHEA Grapalat" w:hAnsi="GHEA Grapalat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 w:rsidR="00E848EA">
        <w:rPr>
          <w:rFonts w:ascii="Cambria Math" w:hAnsi="Cambria Math"/>
          <w:lang w:val="hy-AM"/>
        </w:rPr>
        <w:t>․</w:t>
      </w:r>
      <w:r w:rsidR="00E848EA" w:rsidRPr="0014419D">
        <w:rPr>
          <w:rFonts w:ascii="GHEA Grapalat" w:hAnsi="GHEA Grapalat"/>
          <w:lang w:val="hy-AM"/>
        </w:rPr>
        <w:t>6-Մ5-38)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16DBF0F9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bookmarkStart w:id="0" w:name="_GoBack"/>
      <w:bookmarkEnd w:id="0"/>
      <w:r w:rsidR="00E848EA" w:rsidRPr="00E848EA">
        <w:rPr>
          <w:rFonts w:ascii="GHEA Grapalat" w:hAnsi="GHEA Grapalat"/>
          <w:sz w:val="24"/>
          <w:szCs w:val="24"/>
          <w:lang w:val="hy-AM"/>
        </w:rPr>
        <w:t>Հայաստանի Հանրապետություն, Կոտայքի մարզ, ք</w:t>
      </w:r>
      <w:r w:rsidR="00E848EA" w:rsidRPr="00E848EA">
        <w:rPr>
          <w:rFonts w:ascii="Cambria Math" w:hAnsi="Cambria Math" w:cs="Cambria Math"/>
          <w:sz w:val="24"/>
          <w:szCs w:val="24"/>
          <w:lang w:val="hy-AM"/>
        </w:rPr>
        <w:t>․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 Չարենցավան, Շահումյան 1</w:t>
      </w:r>
      <w:r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352F4348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6-Մ5-38)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16D542E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6-Մ5-38)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B5CCBFA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6-Մ5-38)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71FABD7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դիմումների ընդունման վերջնաժամկետն է 0</w:t>
      </w:r>
      <w:r w:rsidR="00FE6340">
        <w:rPr>
          <w:rFonts w:ascii="GHEA Grapalat" w:eastAsia="Times New Roman" w:hAnsi="GHEA Grapalat" w:cs="Times New Roman"/>
          <w:b/>
          <w:bCs/>
          <w:lang w:val="hy-AM"/>
        </w:rPr>
        <w:t>9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96CAE6B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6340">
        <w:rPr>
          <w:rFonts w:ascii="GHEA Grapalat" w:hAnsi="GHEA Grapalat" w:cs="Helvetica"/>
          <w:sz w:val="24"/>
          <w:szCs w:val="24"/>
          <w:lang w:val="hy-AM"/>
        </w:rPr>
        <w:t>փետր</w:t>
      </w:r>
      <w:r w:rsidR="0067089C" w:rsidRPr="00B538A5">
        <w:rPr>
          <w:rFonts w:ascii="GHEA Grapalat" w:hAnsi="GHEA Grapalat" w:cs="Helvetica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6340">
        <w:rPr>
          <w:rFonts w:ascii="GHEA Grapalat" w:hAnsi="GHEA Grapalat" w:cs="Sylfaen"/>
          <w:sz w:val="24"/>
          <w:szCs w:val="24"/>
          <w:lang w:val="hy-AM"/>
        </w:rPr>
        <w:t>04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E848EA">
        <w:rPr>
          <w:rFonts w:ascii="GHEA Grapalat" w:hAnsi="GHEA Grapalat" w:cs="Sylfaen"/>
          <w:sz w:val="24"/>
          <w:szCs w:val="24"/>
          <w:lang w:val="hy-AM"/>
        </w:rPr>
        <w:t>11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E848EA">
        <w:rPr>
          <w:rFonts w:ascii="GHEA Grapalat" w:hAnsi="GHEA Grapalat" w:cs="Sylfaen"/>
          <w:sz w:val="24"/>
          <w:szCs w:val="24"/>
          <w:lang w:val="hy-AM"/>
        </w:rPr>
        <w:t>15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5193779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6340">
        <w:rPr>
          <w:rFonts w:ascii="GHEA Grapalat" w:hAnsi="GHEA Grapalat" w:cs="Sylfaen"/>
          <w:sz w:val="24"/>
          <w:szCs w:val="24"/>
          <w:lang w:val="hy-AM"/>
        </w:rPr>
        <w:t>փետր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6340">
        <w:rPr>
          <w:rFonts w:ascii="GHEA Grapalat" w:hAnsi="GHEA Grapalat" w:cs="Sylfaen"/>
          <w:sz w:val="24"/>
          <w:szCs w:val="24"/>
          <w:lang w:val="hy-AM"/>
        </w:rPr>
        <w:t>06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E848EA">
        <w:rPr>
          <w:rFonts w:ascii="GHEA Grapalat" w:hAnsi="GHEA Grapalat" w:cs="Helvetica"/>
          <w:sz w:val="24"/>
          <w:szCs w:val="24"/>
          <w:lang w:val="hy-AM"/>
        </w:rPr>
        <w:t>1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FE6340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184517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657BA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26243D41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C8EE431" w14:textId="77777777" w:rsidR="007A4D89" w:rsidRPr="00657BA3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574EBA02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6C78-0757-48D8-9ED1-BEDC3F3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2024-07-18T07:18:00Z</cp:lastPrinted>
  <dcterms:created xsi:type="dcterms:W3CDTF">2024-03-26T13:01:00Z</dcterms:created>
  <dcterms:modified xsi:type="dcterms:W3CDTF">2024-12-02T07:10:00Z</dcterms:modified>
</cp:coreProperties>
</file>