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3819BB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3819B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D37643B" w:rsidR="00541BE8" w:rsidRPr="003819BB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3819BB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3819BB">
        <w:rPr>
          <w:rFonts w:ascii="GHEA Grapalat" w:hAnsi="GHEA Grapalat"/>
          <w:color w:val="auto"/>
          <w:lang w:val="hy-AM"/>
        </w:rPr>
        <w:t xml:space="preserve"> </w:t>
      </w:r>
      <w:r w:rsidR="001C5190" w:rsidRPr="003819BB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3819B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3819B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3819BB">
        <w:rPr>
          <w:rFonts w:ascii="GHEA Grapalat" w:hAnsi="GHEA Grapalat"/>
          <w:lang w:val="hy-AM"/>
        </w:rPr>
        <w:t xml:space="preserve">ՆԳՆ </w:t>
      </w:r>
      <w:r w:rsidR="005B1658" w:rsidRPr="003819BB">
        <w:rPr>
          <w:rFonts w:ascii="GHEA Grapalat" w:hAnsi="GHEA Grapalat"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819BB">
        <w:rPr>
          <w:rFonts w:ascii="GHEA Grapalat" w:hAnsi="GHEA Grapalat" w:cs="Sylfaen"/>
          <w:lang w:val="hy-AM"/>
        </w:rPr>
        <w:t>վարչության</w:t>
      </w:r>
      <w:r w:rsidR="005B1658" w:rsidRPr="003819BB">
        <w:rPr>
          <w:rFonts w:ascii="GHEA Grapalat" w:hAnsi="GHEA Grapalat"/>
          <w:lang w:val="hy-AM"/>
        </w:rPr>
        <w:t xml:space="preserve"> </w:t>
      </w:r>
      <w:r w:rsidR="00612BC4" w:rsidRPr="003819BB">
        <w:rPr>
          <w:rFonts w:ascii="GHEA Grapalat" w:hAnsi="GHEA Grapalat" w:cs="Sylfaen"/>
          <w:bCs/>
          <w:lang w:val="hy-AM"/>
        </w:rPr>
        <w:t>Արագածոտնի մարզի հաշվառման-քննական բաժնի գլխավոր մասնագետի (ծածկագիր՝ 27-33</w:t>
      </w:r>
      <w:r w:rsidR="00612BC4" w:rsidRPr="003819BB">
        <w:rPr>
          <w:rFonts w:ascii="Cambria Math" w:hAnsi="Cambria Math" w:cs="Cambria Math"/>
          <w:bCs/>
          <w:lang w:val="hy-AM"/>
        </w:rPr>
        <w:t>․</w:t>
      </w:r>
      <w:r w:rsidR="00612BC4" w:rsidRPr="003819BB">
        <w:rPr>
          <w:rFonts w:ascii="GHEA Grapalat" w:hAnsi="GHEA Grapalat" w:cs="Sylfaen"/>
          <w:bCs/>
          <w:lang w:val="hy-AM"/>
        </w:rPr>
        <w:t>6-Մ2-74)</w:t>
      </w:r>
      <w:r w:rsidR="00612BC4" w:rsidRPr="003819B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3819BB">
        <w:rPr>
          <w:rFonts w:ascii="GHEA Grapalat" w:hAnsi="GHEA Grapalat"/>
          <w:color w:val="auto"/>
          <w:lang w:val="hy-AM"/>
        </w:rPr>
        <w:t>ը</w:t>
      </w:r>
      <w:r w:rsidR="00541BE8" w:rsidRPr="003819B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3819BB">
        <w:rPr>
          <w:rFonts w:ascii="GHEA Grapalat" w:hAnsi="GHEA Grapalat"/>
          <w:color w:val="auto"/>
          <w:lang w:val="hy-AM"/>
        </w:rPr>
        <w:t>։</w:t>
      </w:r>
      <w:r w:rsidR="00541BE8" w:rsidRPr="003819BB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1B0EC84F" w14:textId="1D1AB410" w:rsidR="00612BC4" w:rsidRPr="003819BB" w:rsidRDefault="00541BE8" w:rsidP="00612BC4">
      <w:pPr>
        <w:pStyle w:val="Default"/>
        <w:rPr>
          <w:rFonts w:ascii="GHEA Grapalat" w:hAnsi="GHEA Grapalat"/>
          <w:b/>
          <w:lang w:val="hy-AM"/>
        </w:rPr>
      </w:pPr>
      <w:r w:rsidRPr="003819BB">
        <w:rPr>
          <w:rFonts w:ascii="GHEA Grapalat" w:hAnsi="GHEA Grapalat" w:cs="Sylfaen"/>
          <w:lang w:val="hy-AM"/>
        </w:rPr>
        <w:t>(</w:t>
      </w:r>
      <w:r w:rsidRPr="003819BB">
        <w:rPr>
          <w:rFonts w:ascii="GHEA Grapalat" w:hAnsi="GHEA Grapalat"/>
          <w:b/>
          <w:lang w:val="hy-AM"/>
        </w:rPr>
        <w:t xml:space="preserve">Աշխատավայրը՝ </w:t>
      </w:r>
      <w:r w:rsidR="00F63427" w:rsidRPr="003819BB">
        <w:rPr>
          <w:rFonts w:ascii="GHEA Grapalat" w:hAnsi="GHEA Grapalat" w:cs="Sylfaen"/>
          <w:bCs/>
          <w:lang w:val="hy-AM"/>
        </w:rPr>
        <w:t>ՀՀ</w:t>
      </w:r>
      <w:r w:rsidR="00F63427" w:rsidRPr="003819BB">
        <w:rPr>
          <w:rFonts w:ascii="GHEA Grapalat" w:hAnsi="GHEA Grapalat" w:cs="Sylfaen"/>
          <w:b/>
          <w:lang w:val="hy-AM"/>
        </w:rPr>
        <w:t xml:space="preserve">, </w:t>
      </w:r>
      <w:r w:rsidR="00612BC4" w:rsidRPr="003819BB">
        <w:rPr>
          <w:rFonts w:ascii="GHEA Grapalat" w:hAnsi="GHEA Grapalat"/>
          <w:b/>
          <w:lang w:val="hy-AM"/>
        </w:rPr>
        <w:t xml:space="preserve"> Արագածոտնի մարզ, ք.Աշտարակ, Ն.Աշտարակեցու-3 </w:t>
      </w:r>
    </w:p>
    <w:p w14:paraId="704AA1CF" w14:textId="77777777" w:rsidR="00612BC4" w:rsidRPr="003819BB" w:rsidRDefault="00612BC4" w:rsidP="00612BC4">
      <w:pPr>
        <w:pStyle w:val="Default"/>
        <w:rPr>
          <w:rFonts w:ascii="GHEA Grapalat" w:hAnsi="GHEA Grapalat"/>
          <w:b/>
          <w:lang w:val="hy-AM"/>
        </w:rPr>
      </w:pPr>
    </w:p>
    <w:p w14:paraId="7B112A7B" w14:textId="4B3067E6" w:rsidR="00541BE8" w:rsidRPr="003819BB" w:rsidRDefault="001C5190" w:rsidP="00612BC4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3819BB">
        <w:rPr>
          <w:rFonts w:ascii="GHEA Grapalat" w:hAnsi="GHEA Grapalat"/>
          <w:b/>
          <w:bCs/>
          <w:lang w:val="hy-AM"/>
        </w:rPr>
        <w:t>ՆԳՆ</w:t>
      </w:r>
      <w:r w:rsidR="00686F16" w:rsidRPr="003819BB">
        <w:rPr>
          <w:rFonts w:ascii="GHEA Grapalat" w:hAnsi="GHEA Grapalat"/>
          <w:b/>
          <w:bCs/>
          <w:lang w:val="hy-AM"/>
        </w:rPr>
        <w:t xml:space="preserve"> </w:t>
      </w:r>
      <w:r w:rsidR="005B1658" w:rsidRPr="003819BB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819BB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3819BB">
        <w:rPr>
          <w:rFonts w:ascii="GHEA Grapalat" w:hAnsi="GHEA Grapalat"/>
          <w:b/>
          <w:bCs/>
          <w:lang w:val="hy-AM"/>
        </w:rPr>
        <w:t xml:space="preserve"> </w:t>
      </w:r>
      <w:r w:rsidR="00612BC4" w:rsidRPr="003819BB">
        <w:rPr>
          <w:rFonts w:ascii="GHEA Grapalat" w:hAnsi="GHEA Grapalat" w:cs="Sylfaen"/>
          <w:b/>
          <w:lang w:val="hy-AM"/>
        </w:rPr>
        <w:t>Արագածոտնի մարզի հաշվառման-քննական բաժնի գլխավոր մասնագետի (ծածկագիր՝ 27-33</w:t>
      </w:r>
      <w:r w:rsidR="00612BC4" w:rsidRPr="003819BB">
        <w:rPr>
          <w:rFonts w:ascii="Cambria Math" w:hAnsi="Cambria Math" w:cs="Cambria Math"/>
          <w:b/>
          <w:lang w:val="hy-AM"/>
        </w:rPr>
        <w:t>․</w:t>
      </w:r>
      <w:r w:rsidR="00612BC4" w:rsidRPr="003819BB">
        <w:rPr>
          <w:rFonts w:ascii="GHEA Grapalat" w:hAnsi="GHEA Grapalat" w:cs="Sylfaen"/>
          <w:b/>
          <w:lang w:val="hy-AM"/>
        </w:rPr>
        <w:t>6-Մ2-74)</w:t>
      </w:r>
      <w:r w:rsidR="00612BC4" w:rsidRPr="003819BB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77B8E32E" w:rsidR="00AE754C" w:rsidRPr="003819BB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3819B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3819BB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3819B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12BC4" w:rsidRPr="003819BB">
        <w:rPr>
          <w:rFonts w:ascii="GHEA Grapalat" w:hAnsi="GHEA Grapalat" w:cs="Sylfaen"/>
          <w:b/>
          <w:sz w:val="24"/>
          <w:szCs w:val="24"/>
          <w:lang w:val="hy-AM"/>
        </w:rPr>
        <w:t>Արագածոտնի մարզի հաշվառման-քննական բաժնի գլխավոր մասնագետի (ծածկագիր՝ 27-33</w:t>
      </w:r>
      <w:r w:rsidR="00612BC4" w:rsidRPr="003819B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12BC4" w:rsidRPr="003819BB">
        <w:rPr>
          <w:rFonts w:ascii="GHEA Grapalat" w:hAnsi="GHEA Grapalat" w:cs="Sylfaen"/>
          <w:b/>
          <w:sz w:val="24"/>
          <w:szCs w:val="24"/>
          <w:lang w:val="hy-AM"/>
        </w:rPr>
        <w:t>6-Մ2-74)</w:t>
      </w:r>
      <w:r w:rsidR="00612BC4" w:rsidRPr="003819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>փաստաթղթերի լուսապատճենները,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CD6ABC7" w:rsidR="00880CE6" w:rsidRPr="003819BB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C35BF3"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ՆԳՆ </w:t>
      </w:r>
      <w:r w:rsidR="005B1658" w:rsidRPr="003819BB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3819B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12BC4" w:rsidRPr="003819BB">
        <w:rPr>
          <w:rFonts w:ascii="GHEA Grapalat" w:hAnsi="GHEA Grapalat" w:cs="Sylfaen"/>
          <w:b/>
          <w:sz w:val="24"/>
          <w:szCs w:val="24"/>
          <w:lang w:val="hy-AM"/>
        </w:rPr>
        <w:t>Արագածոտնի մարզի հաշվառման-քննական բաժնի գլխավոր մասնագետի (ծածկագիր՝ 27-33</w:t>
      </w:r>
      <w:r w:rsidR="00612BC4" w:rsidRPr="003819B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12BC4" w:rsidRPr="003819BB">
        <w:rPr>
          <w:rFonts w:ascii="GHEA Grapalat" w:hAnsi="GHEA Grapalat" w:cs="Sylfaen"/>
          <w:b/>
          <w:sz w:val="24"/>
          <w:szCs w:val="24"/>
          <w:lang w:val="hy-AM"/>
        </w:rPr>
        <w:t>6-Մ2-74)</w:t>
      </w:r>
      <w:r w:rsidR="00612BC4" w:rsidRPr="003819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3EAF17C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վերջնաժամկետը </w:t>
      </w:r>
      <w:r w:rsidR="001C5190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E2AEA4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819BB">
        <w:rPr>
          <w:rFonts w:ascii="GHEA Grapalat" w:hAnsi="GHEA Grapalat" w:cs="Helvetica"/>
          <w:sz w:val="24"/>
          <w:szCs w:val="24"/>
          <w:lang w:val="hy-AM"/>
        </w:rPr>
        <w:t>5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819BB">
        <w:rPr>
          <w:rFonts w:ascii="GHEA Grapalat" w:hAnsi="GHEA Grapalat" w:cs="Sylfaen"/>
          <w:sz w:val="24"/>
          <w:szCs w:val="24"/>
          <w:lang w:val="hy-AM"/>
        </w:rPr>
        <w:t>հունվա</w:t>
      </w:r>
      <w:r w:rsidR="001C5190" w:rsidRPr="003819BB">
        <w:rPr>
          <w:rFonts w:ascii="GHEA Grapalat" w:hAnsi="GHEA Grapalat" w:cs="Sylfaen"/>
          <w:sz w:val="24"/>
          <w:szCs w:val="24"/>
          <w:lang w:val="hy-AM"/>
        </w:rPr>
        <w:t xml:space="preserve">րի </w:t>
      </w:r>
      <w:r w:rsidR="003819BB">
        <w:rPr>
          <w:rFonts w:ascii="GHEA Grapalat" w:hAnsi="GHEA Grapalat" w:cs="Sylfaen"/>
          <w:sz w:val="24"/>
          <w:szCs w:val="24"/>
          <w:lang w:val="hy-AM"/>
        </w:rPr>
        <w:t>07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3819BB">
        <w:rPr>
          <w:rFonts w:ascii="GHEA Grapalat" w:hAnsi="GHEA Grapalat" w:cs="Sylfaen"/>
          <w:sz w:val="24"/>
          <w:szCs w:val="24"/>
          <w:lang w:val="hy-AM"/>
        </w:rPr>
        <w:t>09</w:t>
      </w:r>
      <w:r w:rsidRPr="003819BB">
        <w:rPr>
          <w:rFonts w:ascii="GHEA Grapalat" w:hAnsi="GHEA Grapalat" w:cs="Sylfaen"/>
          <w:sz w:val="24"/>
          <w:szCs w:val="24"/>
          <w:lang w:val="hy-AM"/>
        </w:rPr>
        <w:t>:</w:t>
      </w:r>
      <w:r w:rsidR="00612BC4" w:rsidRPr="003819BB">
        <w:rPr>
          <w:rFonts w:ascii="GHEA Grapalat" w:hAnsi="GHEA Grapalat" w:cs="Sylfaen"/>
          <w:sz w:val="24"/>
          <w:szCs w:val="24"/>
          <w:lang w:val="hy-AM"/>
        </w:rPr>
        <w:t>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7424E64C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819BB">
        <w:rPr>
          <w:rFonts w:ascii="GHEA Grapalat" w:hAnsi="GHEA Grapalat" w:cs="Helvetica"/>
          <w:sz w:val="24"/>
          <w:szCs w:val="24"/>
          <w:lang w:val="hy-AM"/>
        </w:rPr>
        <w:t>5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819BB">
        <w:rPr>
          <w:rFonts w:ascii="GHEA Grapalat" w:hAnsi="GHEA Grapalat" w:cs="Sylfaen"/>
          <w:sz w:val="24"/>
          <w:szCs w:val="24"/>
          <w:lang w:val="hy-AM"/>
        </w:rPr>
        <w:t>հունվա</w:t>
      </w:r>
      <w:r w:rsidR="001C5190" w:rsidRPr="003819BB">
        <w:rPr>
          <w:rFonts w:ascii="GHEA Grapalat" w:hAnsi="GHEA Grapalat" w:cs="Sylfaen"/>
          <w:sz w:val="24"/>
          <w:szCs w:val="24"/>
          <w:lang w:val="hy-AM"/>
        </w:rPr>
        <w:t xml:space="preserve">րի </w:t>
      </w:r>
      <w:r w:rsidR="000933BA">
        <w:rPr>
          <w:rFonts w:ascii="GHEA Grapalat" w:hAnsi="GHEA Grapalat" w:cs="Sylfaen"/>
          <w:sz w:val="24"/>
          <w:szCs w:val="24"/>
          <w:lang w:val="hy-AM"/>
        </w:rPr>
        <w:t>09</w:t>
      </w:r>
      <w:r w:rsidRPr="003819BB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819BB">
        <w:rPr>
          <w:rFonts w:ascii="GHEA Grapalat" w:hAnsi="GHEA Grapalat" w:cs="Helvetica"/>
          <w:sz w:val="24"/>
          <w:szCs w:val="24"/>
          <w:lang w:val="hy-AM"/>
        </w:rPr>
        <w:t>09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  <w:r w:rsidR="003819BB">
        <w:rPr>
          <w:rFonts w:ascii="GHEA Grapalat" w:hAnsi="GHEA Grapalat" w:cs="Helvetica"/>
          <w:sz w:val="24"/>
          <w:szCs w:val="24"/>
          <w:lang w:val="hy-AM"/>
        </w:rPr>
        <w:t>3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0-</w:t>
      </w:r>
      <w:r w:rsidRPr="003819BB">
        <w:rPr>
          <w:rFonts w:ascii="GHEA Grapalat" w:hAnsi="GHEA Grapalat" w:cs="Sylfaen"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ru-RU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372B03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5641FD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3A06729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2465DCF3" w:rsidR="00C278AE" w:rsidRPr="003819BB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819BB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3819BB" w:rsidRDefault="00016506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3819BB" w:rsidRDefault="00016506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3819BB" w:rsidRDefault="00016506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3443A7DE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4B407D2E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040F295A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54B21ACA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FBAA0F5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45BDAE38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288B3403" w14:textId="2F369C20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կոմպետենցիաների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կայքէջում՝</w:t>
      </w:r>
      <w:r w:rsidRPr="003819BB">
        <w:rPr>
          <w:rFonts w:ascii="GHEA Grapalat" w:hAnsi="GHEA Grapalat"/>
          <w:lang w:val="hy-AM"/>
        </w:rPr>
        <w:t xml:space="preserve"> </w:t>
      </w:r>
      <w:hyperlink r:id="rId13" w:history="1">
        <w:r w:rsidRPr="003819BB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կոմպետենցիաներից</w:t>
      </w:r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014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157014">
          <w:rPr>
            <w:rStyle w:val="Hyperlink"/>
            <w:color w:val="5B9BD5" w:themeColor="accent1"/>
            <w:lang w:val="hy-AM"/>
          </w:rPr>
          <w:t>arlis.am/DocumentView.aspx?docid=200513</w:t>
        </w:r>
      </w:hyperlink>
      <w:r w:rsidR="000933BA" w:rsidRPr="00157014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157014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Ճանապարհային երթևեկության անվտանգության ապահովման մասին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157014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157014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157014">
          <w:rPr>
            <w:rStyle w:val="Hyperlink"/>
          </w:rPr>
          <w:t>arlis.am/DocumentView.aspx?docid=199825</w:t>
        </w:r>
      </w:hyperlink>
    </w:p>
    <w:p w14:paraId="415B2521" w14:textId="3962A758" w:rsidR="00966FD0" w:rsidRPr="00157014" w:rsidRDefault="00016506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014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014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Default="00016506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3819BB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819BB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3819BB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3517D"/>
    <w:rsid w:val="00045F95"/>
    <w:rsid w:val="000722B9"/>
    <w:rsid w:val="000737CC"/>
    <w:rsid w:val="000742D6"/>
    <w:rsid w:val="000933BA"/>
    <w:rsid w:val="000940D0"/>
    <w:rsid w:val="000D0B88"/>
    <w:rsid w:val="000F1280"/>
    <w:rsid w:val="000F2EC3"/>
    <w:rsid w:val="000F7849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340CB"/>
    <w:rsid w:val="00342251"/>
    <w:rsid w:val="00350935"/>
    <w:rsid w:val="00351485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278AE"/>
    <w:rsid w:val="00C35BF3"/>
    <w:rsid w:val="00C40A20"/>
    <w:rsid w:val="00C44B71"/>
    <w:rsid w:val="00C52635"/>
    <w:rsid w:val="00C53D61"/>
    <w:rsid w:val="00C53E47"/>
    <w:rsid w:val="00C819E7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25</cp:revision>
  <cp:lastPrinted>2024-10-04T08:10:00Z</cp:lastPrinted>
  <dcterms:created xsi:type="dcterms:W3CDTF">2024-10-03T11:51:00Z</dcterms:created>
  <dcterms:modified xsi:type="dcterms:W3CDTF">2024-12-06T13:43:00Z</dcterms:modified>
</cp:coreProperties>
</file>