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99C785F" w:rsidR="00C97522" w:rsidRPr="008D06A0" w:rsidRDefault="009F6B5E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Hlk183162352"/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Մ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իգրացիայի և քաղաքացիության ծառայության </w:t>
      </w:r>
      <w:bookmarkEnd w:id="0"/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բնակչության տվյալների մշակման վարչության բնակչության պետական ռեգիստրի վարման բաժնի </w:t>
      </w:r>
      <w:r w:rsidR="00C97522" w:rsidRPr="008D06A0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8D06A0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 w:rsidRPr="008D06A0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8D06A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B225A1F" w14:textId="77777777" w:rsidR="00177691" w:rsidRDefault="00177691" w:rsidP="00177691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Մասնակցել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FE8336C" w14:textId="77777777" w:rsidR="00177691" w:rsidRDefault="00177691" w:rsidP="00177691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Մասնակցել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A09A01C" w14:textId="77777777" w:rsidR="00177691" w:rsidRDefault="00177691" w:rsidP="00177691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Մասնակցել վարույթների արդյունքներում պատրաստվող բոլոր անձը հաստատող փաստաթղթերի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ակտավորման և ոչնչացման աշխատանքներին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7E501EE5" w14:textId="77777777" w:rsidR="00177691" w:rsidRDefault="00177691" w:rsidP="00177691">
      <w:pPr>
        <w:pStyle w:val="ListParagraph"/>
        <w:numPr>
          <w:ilvl w:val="0"/>
          <w:numId w:val="21"/>
        </w:numPr>
        <w:tabs>
          <w:tab w:val="left" w:pos="567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Մասնակցել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Լեռնային Ղարաբաղից բռնի տեղահանված անձանց ժամանակավոր պաշտպանության վկայականների տպագրման աշխատանքներին։</w:t>
      </w:r>
    </w:p>
    <w:p w14:paraId="48051541" w14:textId="2A7D9C16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77691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FED6373" w14:textId="77777777" w:rsidR="008B01E2" w:rsidRPr="00110EE3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կրթություն.</w:t>
      </w:r>
    </w:p>
    <w:p w14:paraId="710CFEC1" w14:textId="77777777" w:rsidR="008B01E2" w:rsidRPr="006D030B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A961300" w14:textId="77777777" w:rsidR="008B01E2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63953C" w14:textId="77777777" w:rsidR="008B01E2" w:rsidRPr="006D030B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960D50C" w14:textId="77777777" w:rsidR="008B01E2" w:rsidRDefault="008B01E2" w:rsidP="008B01E2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51765402" w14:textId="77777777" w:rsidR="00177691" w:rsidRDefault="00177691" w:rsidP="00177691">
      <w:pPr>
        <w:tabs>
          <w:tab w:val="left" w:pos="426"/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CAE3ADA" w14:textId="7ADEA922" w:rsidR="00C46E40" w:rsidRDefault="00177691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202</w:t>
      </w:r>
      <w:r w:rsidR="00D31B90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="00734F42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F7ED8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դեկտեմբերի</w:t>
      </w:r>
      <w:r w:rsidR="00E94F62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253F5D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18</w:t>
      </w:r>
      <w:r w:rsidR="00A972BA" w:rsidRPr="00D8697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 ներառյալ:</w:t>
      </w:r>
    </w:p>
    <w:p w14:paraId="77A430D9" w14:textId="1D70E8A5" w:rsidR="00A326D1" w:rsidRPr="00326ED7" w:rsidRDefault="00025A34" w:rsidP="00025A34">
      <w:pPr>
        <w:pStyle w:val="NormalWeb"/>
        <w:shd w:val="clear" w:color="auto" w:fill="FEFEFE"/>
        <w:spacing w:before="0" w:beforeAutospacing="0" w:after="150" w:afterAutospacing="0" w:line="276" w:lineRule="auto"/>
        <w:ind w:left="-284" w:hanging="578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0026A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թաղամաս, 17/10</w:t>
      </w:r>
      <w:r w:rsidR="000026AA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շենք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9E5E1A1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35C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734A95" w:rsidRPr="00734A95">
        <w:rPr>
          <w:rFonts w:ascii="GHEA Grapalat" w:hAnsi="GHEA Grapalat" w:cs="Segoe UI"/>
          <w:lang w:val="hy-AM"/>
        </w:rPr>
        <w:t xml:space="preserve"> </w:t>
      </w:r>
      <w:r w:rsidR="00734A95" w:rsidRPr="00734A95">
        <w:rPr>
          <w:rFonts w:ascii="GHEA Grapalat" w:hAnsi="GHEA Grapalat" w:cs="Segoe UI"/>
          <w:b/>
          <w:lang w:val="hy-AM"/>
        </w:rPr>
        <w:t>hrmd@mia.gov.am</w:t>
      </w:r>
      <w:r w:rsidRPr="00734A95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D274EE9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</w:t>
      </w:r>
      <w:r w:rsidR="00D8697D">
        <w:rPr>
          <w:rFonts w:ascii="GHEA Grapalat" w:hAnsi="GHEA Grapalat" w:cs="Segoe UI"/>
          <w:color w:val="0A0A0A"/>
          <w:lang w:val="hy-AM"/>
        </w:rPr>
        <w:t>ն, Նալբանդյան 130, 3-րդ հարկ, 306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</w:t>
      </w:r>
      <w:r w:rsidR="00D8697D">
        <w:rPr>
          <w:rFonts w:ascii="GHEA Grapalat" w:hAnsi="GHEA Grapalat" w:cs="Segoe UI"/>
          <w:color w:val="0A0A0A"/>
          <w:lang w:val="hy-AM"/>
        </w:rPr>
        <w:t xml:space="preserve">  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հեռ.` </w:t>
      </w:r>
      <w:bookmarkStart w:id="1" w:name="_GoBack"/>
      <w:bookmarkEnd w:id="1"/>
      <w:r w:rsidR="004F5C20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936ED9">
      <w:pgSz w:w="12240" w:h="15840"/>
      <w:pgMar w:top="709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0944202"/>
    <w:multiLevelType w:val="hybridMultilevel"/>
    <w:tmpl w:val="064858BC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A1611"/>
    <w:multiLevelType w:val="hybridMultilevel"/>
    <w:tmpl w:val="84C03624"/>
    <w:lvl w:ilvl="0" w:tplc="2432072C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5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25A34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2CB"/>
    <w:rsid w:val="0015360D"/>
    <w:rsid w:val="00157B0E"/>
    <w:rsid w:val="00162A19"/>
    <w:rsid w:val="00177691"/>
    <w:rsid w:val="001778B2"/>
    <w:rsid w:val="00193F82"/>
    <w:rsid w:val="001953CD"/>
    <w:rsid w:val="00197D2D"/>
    <w:rsid w:val="001B2608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260FA"/>
    <w:rsid w:val="002430BB"/>
    <w:rsid w:val="002466A6"/>
    <w:rsid w:val="00253F5D"/>
    <w:rsid w:val="0026063C"/>
    <w:rsid w:val="0026761F"/>
    <w:rsid w:val="00271141"/>
    <w:rsid w:val="0027503F"/>
    <w:rsid w:val="002823FB"/>
    <w:rsid w:val="00286290"/>
    <w:rsid w:val="00297670"/>
    <w:rsid w:val="002B36EE"/>
    <w:rsid w:val="002D1A2F"/>
    <w:rsid w:val="002D7DD4"/>
    <w:rsid w:val="002E5760"/>
    <w:rsid w:val="002F277E"/>
    <w:rsid w:val="002F51D1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4F5C20"/>
    <w:rsid w:val="0050623C"/>
    <w:rsid w:val="0053614C"/>
    <w:rsid w:val="00540DA5"/>
    <w:rsid w:val="00555CC1"/>
    <w:rsid w:val="00563F7A"/>
    <w:rsid w:val="00567A47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4526F"/>
    <w:rsid w:val="006541CF"/>
    <w:rsid w:val="00662CBC"/>
    <w:rsid w:val="0068374F"/>
    <w:rsid w:val="00693F86"/>
    <w:rsid w:val="0069604A"/>
    <w:rsid w:val="00697387"/>
    <w:rsid w:val="006A19C9"/>
    <w:rsid w:val="006A5C58"/>
    <w:rsid w:val="006B2E27"/>
    <w:rsid w:val="006B4F5C"/>
    <w:rsid w:val="006C1F76"/>
    <w:rsid w:val="006C3C62"/>
    <w:rsid w:val="006D70D2"/>
    <w:rsid w:val="006E0448"/>
    <w:rsid w:val="006F7ED8"/>
    <w:rsid w:val="00710EB2"/>
    <w:rsid w:val="00711CCF"/>
    <w:rsid w:val="00713522"/>
    <w:rsid w:val="00734A95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178E0"/>
    <w:rsid w:val="00824E79"/>
    <w:rsid w:val="00871CE3"/>
    <w:rsid w:val="00884582"/>
    <w:rsid w:val="008B01E2"/>
    <w:rsid w:val="008C5619"/>
    <w:rsid w:val="008C5B28"/>
    <w:rsid w:val="008D06A0"/>
    <w:rsid w:val="008E6E53"/>
    <w:rsid w:val="00913429"/>
    <w:rsid w:val="00915132"/>
    <w:rsid w:val="009333E7"/>
    <w:rsid w:val="00936ED9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C477C"/>
    <w:rsid w:val="009D0918"/>
    <w:rsid w:val="009D33EF"/>
    <w:rsid w:val="009E0E21"/>
    <w:rsid w:val="009F6B5E"/>
    <w:rsid w:val="00A02B16"/>
    <w:rsid w:val="00A03B60"/>
    <w:rsid w:val="00A14BB0"/>
    <w:rsid w:val="00A31718"/>
    <w:rsid w:val="00A31FBA"/>
    <w:rsid w:val="00A326D1"/>
    <w:rsid w:val="00A34143"/>
    <w:rsid w:val="00A35CD7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2EA6"/>
    <w:rsid w:val="00B95000"/>
    <w:rsid w:val="00B9583E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24FE9"/>
    <w:rsid w:val="00D3093A"/>
    <w:rsid w:val="00D31B90"/>
    <w:rsid w:val="00D409E3"/>
    <w:rsid w:val="00D43768"/>
    <w:rsid w:val="00D51A20"/>
    <w:rsid w:val="00D553FD"/>
    <w:rsid w:val="00D62786"/>
    <w:rsid w:val="00D67E3E"/>
    <w:rsid w:val="00D726B4"/>
    <w:rsid w:val="00D8322E"/>
    <w:rsid w:val="00D8697D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2023-12-22T11:31:00Z</cp:lastPrinted>
  <dcterms:created xsi:type="dcterms:W3CDTF">2024-11-25T06:54:00Z</dcterms:created>
  <dcterms:modified xsi:type="dcterms:W3CDTF">2024-12-13T08:37:00Z</dcterms:modified>
</cp:coreProperties>
</file>