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3AA71F87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CF685D">
        <w:rPr>
          <w:rFonts w:ascii="GHEA Grapalat" w:hAnsi="GHEA Grapalat"/>
          <w:sz w:val="24"/>
          <w:szCs w:val="24"/>
          <w:lang w:val="hy-AM"/>
        </w:rPr>
        <w:t>4</w:t>
      </w:r>
      <w:r w:rsidR="0024766B">
        <w:rPr>
          <w:rFonts w:ascii="GHEA Grapalat" w:hAnsi="GHEA Grapalat"/>
          <w:sz w:val="24"/>
          <w:szCs w:val="24"/>
          <w:lang w:val="hy-AM"/>
        </w:rPr>
        <w:t>4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5A8D340" w14:textId="015B7F80" w:rsidR="00D6055E" w:rsidRPr="0024766B" w:rsidRDefault="00D6055E" w:rsidP="0024766B">
      <w:pPr>
        <w:pStyle w:val="Default"/>
        <w:rPr>
          <w:rFonts w:ascii="GHEA Grapalat" w:hAnsi="GHEA Grapalat"/>
          <w:lang w:val="hy-AM"/>
        </w:rPr>
      </w:pP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="009F7D11" w:rsidRPr="009F7D11">
        <w:rPr>
          <w:lang w:val="hy-AM"/>
        </w:rPr>
        <w:t xml:space="preserve"> </w:t>
      </w:r>
      <w:r w:rsidR="009F7D11" w:rsidRPr="009F7D11">
        <w:rPr>
          <w:rFonts w:ascii="GHEA Grapalat" w:hAnsi="GHEA Grapalat"/>
          <w:lang w:val="hy-AM"/>
        </w:rPr>
        <w:t xml:space="preserve">Հայաստանի Հանրապետություն, </w:t>
      </w:r>
      <w:r w:rsidR="0024766B" w:rsidRPr="0024766B">
        <w:rPr>
          <w:lang w:val="hy-AM"/>
        </w:rPr>
        <w:t xml:space="preserve"> </w:t>
      </w:r>
      <w:r w:rsidR="0024766B" w:rsidRPr="0024766B">
        <w:rPr>
          <w:rFonts w:ascii="GHEA Grapalat" w:hAnsi="GHEA Grapalat"/>
          <w:lang w:val="hy-AM"/>
        </w:rPr>
        <w:t>Արարատի մարզ, ք</w:t>
      </w:r>
      <w:r w:rsidR="0024766B" w:rsidRPr="0024766B">
        <w:rPr>
          <w:rFonts w:ascii="Cambria Math" w:hAnsi="Cambria Math" w:cs="Cambria Math"/>
          <w:lang w:val="hy-AM"/>
        </w:rPr>
        <w:t>․</w:t>
      </w:r>
      <w:r w:rsidR="0024766B" w:rsidRPr="0024766B">
        <w:rPr>
          <w:rFonts w:ascii="GHEA Grapalat" w:hAnsi="GHEA Grapalat"/>
          <w:lang w:val="hy-AM"/>
        </w:rPr>
        <w:t xml:space="preserve"> Արտաշատ, Օգոստոսի 23 փ</w:t>
      </w:r>
      <w:r w:rsidR="0024766B" w:rsidRPr="0024766B">
        <w:rPr>
          <w:rFonts w:ascii="Cambria Math" w:hAnsi="Cambria Math" w:cs="Cambria Math"/>
          <w:lang w:val="hy-AM"/>
        </w:rPr>
        <w:t>․</w:t>
      </w:r>
      <w:r w:rsidR="0024766B" w:rsidRPr="0024766B">
        <w:rPr>
          <w:rFonts w:ascii="GHEA Grapalat" w:hAnsi="GHEA Grapalat"/>
          <w:lang w:val="hy-AM"/>
        </w:rPr>
        <w:t>, 122։</w:t>
      </w:r>
    </w:p>
    <w:p w14:paraId="3FD8AC45" w14:textId="77777777" w:rsidR="0024766B" w:rsidRPr="0024766B" w:rsidRDefault="0024766B" w:rsidP="0024766B">
      <w:pPr>
        <w:pStyle w:val="Default"/>
        <w:rPr>
          <w:rFonts w:ascii="GHEA Grapalat" w:hAnsi="GHEA Grapalat" w:cs="Sylfaen"/>
          <w:lang w:val="hy-AM"/>
        </w:rPr>
      </w:pPr>
    </w:p>
    <w:p w14:paraId="58EB578B" w14:textId="70D1F8EC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685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24766B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4B75BF12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685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24766B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6DD6C435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5-Մ2-</w:t>
      </w:r>
      <w:r w:rsidR="00CF685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24766B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7B111FA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24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2024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9138DD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4A7EDAFA" w:rsidR="00D6055E" w:rsidRPr="00BD0CEF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F7D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փետր</w:t>
      </w:r>
      <w:r w:rsid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րի </w:t>
      </w:r>
      <w:r w:rsidR="009F7D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F68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F685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</w:t>
      </w:r>
      <w:r w:rsidR="008175AD" w:rsidRPr="008175A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51FF227C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534B">
        <w:rPr>
          <w:rFonts w:ascii="GHEA Grapalat" w:hAnsi="GHEA Grapalat" w:cs="Sylfaen"/>
          <w:b/>
          <w:sz w:val="24"/>
          <w:szCs w:val="24"/>
          <w:lang w:val="hy-AM"/>
        </w:rPr>
        <w:t>փետրվարի 0</w:t>
      </w:r>
      <w:r w:rsidR="009F7D11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F685D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F685D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78DCE356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F8260C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7ABBED7D" w14:textId="77777777" w:rsidR="005275F2" w:rsidRDefault="005275F2" w:rsidP="005275F2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1692D12B" w14:textId="77777777" w:rsidR="005275F2" w:rsidRDefault="005275F2" w:rsidP="005275F2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96F22BC" w14:textId="77777777" w:rsidR="005275F2" w:rsidRDefault="005275F2" w:rsidP="005275F2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ԸՆԴՀԱՆՐԱԿԱՆ</w:t>
      </w:r>
    </w:p>
    <w:p w14:paraId="57943E0B" w14:textId="77777777" w:rsidR="005275F2" w:rsidRDefault="005275F2" w:rsidP="005275F2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6D1D0B3A" w14:textId="77777777" w:rsidR="005275F2" w:rsidRDefault="005275F2" w:rsidP="005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/>
          </w:rPr>
          <w:t>https://www.gov.am/u_files/file/Haytararutyunner/4.pdf</w:t>
        </w:r>
      </w:hyperlink>
    </w:p>
    <w:p w14:paraId="0E44AB1B" w14:textId="77777777" w:rsidR="005275F2" w:rsidRDefault="005275F2" w:rsidP="005275F2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7B64E82C" w14:textId="77777777" w:rsidR="005275F2" w:rsidRDefault="005275F2" w:rsidP="005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/>
          </w:rPr>
          <w:t>https://www.gov.am/u_files/file/Haytararutyunner/3.pdf</w:t>
        </w:r>
      </w:hyperlink>
    </w:p>
    <w:p w14:paraId="692BD71E" w14:textId="77777777" w:rsidR="005275F2" w:rsidRDefault="005275F2" w:rsidP="005275F2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51E892E8" w14:textId="77777777" w:rsidR="005275F2" w:rsidRDefault="005275F2" w:rsidP="0052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hy-AM"/>
          </w:rPr>
          <w:t>https://www.gov.am/u_files/file/Haytararutyunner/6.pdf</w:t>
        </w:r>
      </w:hyperlink>
    </w:p>
    <w:p w14:paraId="6258B588" w14:textId="77777777" w:rsidR="005275F2" w:rsidRDefault="005275F2" w:rsidP="005275F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03907CA" w14:textId="77777777" w:rsidR="005275F2" w:rsidRDefault="005275F2" w:rsidP="005275F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26EC7AA5" w14:textId="77777777" w:rsidR="005275F2" w:rsidRDefault="005275F2" w:rsidP="005275F2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5929D080" w14:textId="77777777" w:rsidR="005275F2" w:rsidRDefault="005275F2" w:rsidP="005275F2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430AE72" w14:textId="77777777" w:rsidR="005275F2" w:rsidRPr="005275F2" w:rsidRDefault="005275F2" w:rsidP="005275F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5275F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en-GB" w:eastAsia="en-GB"/>
        </w:rPr>
        <w:t>Բանակցությունների վարում</w:t>
      </w:r>
    </w:p>
    <w:p w14:paraId="4AA10D20" w14:textId="77777777" w:rsidR="005275F2" w:rsidRPr="005275F2" w:rsidRDefault="005275F2" w:rsidP="005275F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5275F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en-GB" w:eastAsia="en-GB"/>
        </w:rPr>
        <w:t>Բողոքների բավարարում</w:t>
      </w:r>
    </w:p>
    <w:p w14:paraId="1F8169EE" w14:textId="77777777" w:rsidR="005275F2" w:rsidRPr="005275F2" w:rsidRDefault="005275F2" w:rsidP="005275F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5275F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en-GB" w:eastAsia="en-GB"/>
        </w:rPr>
        <w:t>Ժամանակի կառավարում</w:t>
      </w:r>
    </w:p>
    <w:p w14:paraId="42C9991E" w14:textId="77777777" w:rsidR="005275F2" w:rsidRDefault="005275F2" w:rsidP="005275F2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r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 նախապատրաստում</w:t>
      </w:r>
    </w:p>
    <w:p w14:paraId="484949A4" w14:textId="77777777" w:rsidR="00666429" w:rsidRPr="00D0534B" w:rsidRDefault="00666429" w:rsidP="00666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highlight w:val="yellow"/>
          <w:lang w:val="en-GB"/>
        </w:rPr>
      </w:pPr>
    </w:p>
    <w:p w14:paraId="0DB40EA2" w14:textId="37E0ECF3" w:rsidR="00B2300C" w:rsidRPr="005275F2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275F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27B00F62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284AEF7B" w14:textId="77777777" w:rsidR="00D17C1A" w:rsidRPr="00157014" w:rsidRDefault="00D17C1A" w:rsidP="00D17C1A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2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CCFC895" w14:textId="77777777" w:rsidR="00BB1421" w:rsidRDefault="00BB1421" w:rsidP="00BB1421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Քաղաքացիական ծառայության մասին» ՀՀ օրենք, հոդվածներ՝  4, 7, 10, 12, 17, 21, 23-24, 30, 37։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sz w:val="24"/>
          <w:szCs w:val="24"/>
          <w:lang w:val="hy-AM"/>
        </w:rPr>
        <w:t xml:space="preserve">    </w:t>
      </w:r>
      <w:hyperlink r:id="rId1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5CCD9F83" w14:textId="739EB8C4" w:rsidR="00D17C1A" w:rsidRPr="00157014" w:rsidRDefault="00D17C1A" w:rsidP="00BB1421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2-4,15-16</w:t>
      </w:r>
      <w:r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5665FF90" w14:textId="021D76BE" w:rsidR="0056092E" w:rsidRDefault="00FA03B8" w:rsidP="0056092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գլուխներ՝  4-</w:t>
      </w:r>
      <w:r w:rsidR="0056092E">
        <w:rPr>
          <w:rFonts w:ascii="GHEA Grapalat" w:hAnsi="GHEA Grapalat"/>
          <w:sz w:val="24"/>
          <w:szCs w:val="24"/>
          <w:lang w:val="hy-AM"/>
        </w:rPr>
        <w:t>-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6,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8-11</w:t>
      </w:r>
      <w:r w:rsidR="0056092E">
        <w:rPr>
          <w:rFonts w:ascii="GHEA Grapalat" w:hAnsi="GHEA Grapalat"/>
          <w:sz w:val="24"/>
          <w:szCs w:val="24"/>
          <w:lang w:val="hy-AM"/>
        </w:rPr>
        <w:t>։</w:t>
      </w:r>
    </w:p>
    <w:p w14:paraId="1A191E9B" w14:textId="324FFA43" w:rsidR="001A3CDA" w:rsidRPr="0056092E" w:rsidRDefault="00BB1421" w:rsidP="0056092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4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485EC9E1" w14:textId="09EA3358" w:rsidR="009C24C8" w:rsidRDefault="00D17C1A" w:rsidP="00D17C1A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17C1A">
        <w:rPr>
          <w:rFonts w:ascii="GHEA Grapalat" w:hAnsi="GHEA Grapalat"/>
          <w:sz w:val="24"/>
          <w:szCs w:val="24"/>
          <w:lang w:val="hy-AM"/>
        </w:rPr>
        <w:t>ՀՀ քաղաքացիական դատավարության օրենսգիրք</w:t>
      </w:r>
      <w:r w:rsidR="0056092E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7C1A">
        <w:rPr>
          <w:rFonts w:ascii="GHEA Grapalat" w:hAnsi="GHEA Grapalat"/>
          <w:sz w:val="24"/>
          <w:szCs w:val="24"/>
          <w:lang w:val="hy-AM"/>
        </w:rPr>
        <w:t>գլուխներ՝  12, 14, 15, 53, 56</w:t>
      </w:r>
    </w:p>
    <w:p w14:paraId="1E3BA1E6" w14:textId="4F4276F4" w:rsidR="00D17C1A" w:rsidRDefault="00BB1421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5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https://www.arlis.am/documentview.aspx?docid=197824</w:t>
        </w:r>
      </w:hyperlink>
    </w:p>
    <w:p w14:paraId="43DA43D6" w14:textId="7D44724E" w:rsidR="0056092E" w:rsidRDefault="0056092E" w:rsidP="0056092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45E2233B" w14:textId="140A2430" w:rsidR="0056092E" w:rsidRDefault="00BB1421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6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7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93C60"/>
    <w:rsid w:val="000A7127"/>
    <w:rsid w:val="000A7401"/>
    <w:rsid w:val="000B4A05"/>
    <w:rsid w:val="001031D6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4766B"/>
    <w:rsid w:val="002733FD"/>
    <w:rsid w:val="002A215A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3579"/>
    <w:rsid w:val="004818AD"/>
    <w:rsid w:val="00497EB4"/>
    <w:rsid w:val="004B2671"/>
    <w:rsid w:val="004B6BAA"/>
    <w:rsid w:val="004C794F"/>
    <w:rsid w:val="005275F2"/>
    <w:rsid w:val="00552F12"/>
    <w:rsid w:val="0056092E"/>
    <w:rsid w:val="005622E3"/>
    <w:rsid w:val="005654A2"/>
    <w:rsid w:val="005B570E"/>
    <w:rsid w:val="005E6934"/>
    <w:rsid w:val="005F6239"/>
    <w:rsid w:val="005F7A25"/>
    <w:rsid w:val="00603868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93495"/>
    <w:rsid w:val="00906C15"/>
    <w:rsid w:val="009138DD"/>
    <w:rsid w:val="00953A51"/>
    <w:rsid w:val="009735DB"/>
    <w:rsid w:val="009B6568"/>
    <w:rsid w:val="009C24C8"/>
    <w:rsid w:val="009F68D5"/>
    <w:rsid w:val="009F7D11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B1421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CF526C"/>
    <w:rsid w:val="00CF685D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260C"/>
    <w:rsid w:val="00F83A0F"/>
    <w:rsid w:val="00FA03B8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200941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97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7824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57</cp:revision>
  <cp:lastPrinted>2024-07-26T08:21:00Z</cp:lastPrinted>
  <dcterms:created xsi:type="dcterms:W3CDTF">2024-05-29T12:42:00Z</dcterms:created>
  <dcterms:modified xsi:type="dcterms:W3CDTF">2024-12-18T11:36:00Z</dcterms:modified>
</cp:coreProperties>
</file>