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917EA6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49249CF" w:rsidR="00C97522" w:rsidRPr="00FB494A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17EA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B494A" w:rsidRPr="00FB494A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անձը հաստատող փաստաթղթերի թողարկման</w:t>
      </w:r>
      <w:r w:rsidR="00421797" w:rsidRPr="00FB494A">
        <w:rPr>
          <w:rFonts w:ascii="GHEA Grapalat" w:hAnsi="GHEA Grapalat"/>
          <w:b/>
          <w:sz w:val="24"/>
          <w:szCs w:val="24"/>
          <w:lang w:val="hy-AM"/>
        </w:rPr>
        <w:t xml:space="preserve"> վարչության 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B494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B494A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917EA6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a4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7DEB9DA" w14:textId="77777777" w:rsidR="00FB494A" w:rsidRPr="00E10779" w:rsidRDefault="00FB494A" w:rsidP="00FB494A">
      <w:pPr>
        <w:pStyle w:val="a7"/>
        <w:numPr>
          <w:ilvl w:val="0"/>
          <w:numId w:val="23"/>
        </w:num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տրամադրել խորհրդատվություն, պարզաբանումներ անձի </w:t>
      </w:r>
      <w:r>
        <w:rPr>
          <w:rFonts w:ascii="GHEA Grapalat" w:hAnsi="GHEA Grapalat" w:cs="Sylfaen"/>
          <w:sz w:val="24"/>
          <w:szCs w:val="24"/>
          <w:lang w:val="hy-AM"/>
        </w:rPr>
        <w:t>ՀՀ Նախագահի հրամանագրով քաղաքացիություն ստանալուց հետո առաջին անգամ անձնագրավորման վերաբերյալ</w:t>
      </w:r>
      <w:r w:rsidRPr="00E31BE1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68C9EEA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ընդունել, ուսումնասիրել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անձը հաստատող փաստաթղթերի, այդ թվում՝ ԺՊ փախստականի վկայականների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վերաբերյալ դիմումները, այդ թվում՝ ՀՀ արտաքին գործերի նախարարության միջոցով ուղարկված, ստուգել փաստաթղթերի ամբողջականությունը, ՀՀ օրենսդրությամբ պահանջվող փաստաթղթերի՝ օտար լեզվով կազմված լինելու դեպքում նաև դրանց՝ սահմանված կարգով կազմված, հաստատված  և թարգմանությունների հայերեն վավերացված լինելը, գործի հետագա ընթացքը շարունակելու նպատակով</w:t>
      </w:r>
      <w:r w:rsidRPr="00E31BE1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7BB92BC1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գործի ընթացքը շարունակելու նպատակով կատարել համապատասխան ստուգումներ (այդ թվում՝ ՆԳՆ տեղեկատվական համակարգերով), </w:t>
      </w:r>
    </w:p>
    <w:p w14:paraId="09D08686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Cambria Math" w:hAnsi="Cambria Math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ամփոփել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կազմված նյութերը, իրավական ակտերին համապատասխանլինելու դեպքում՝ մուտքագրել համապատասխան շտեմարան՝ վկայական տպագրելու համար,</w:t>
      </w:r>
    </w:p>
    <w:p w14:paraId="1FC57C74" w14:textId="77777777" w:rsidR="00FB494A" w:rsidRPr="00940796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lang w:val="hy-AM"/>
        </w:rPr>
        <w:t>դիմում ընդունելու ընթացքում անձի հետախուզման մեջ գտնվելու հանգամանք պարզելու դեպքում այդ մասին անհապաղ տեղեկացնել Բաժնի պետին՝ Ոստիկանության  իրավասու ստորաբաժանման միջոցով համապատասխան գործողություններ նախաձեռնելու համար</w:t>
      </w:r>
      <w:r w:rsidRPr="00026E1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E59C38" w14:textId="77777777" w:rsidR="00C0086C" w:rsidRPr="00917EA6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B065F45" w:rsidR="00B855DF" w:rsidRPr="00917EA6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3A93400" w:rsidR="005C4DB2" w:rsidRPr="00917EA6" w:rsidRDefault="007440D7" w:rsidP="00DC0037">
      <w:pPr>
        <w:spacing w:after="0"/>
        <w:ind w:left="-180" w:hanging="27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</w:t>
      </w:r>
      <w:r w:rsidR="00421797" w:rsidRPr="00917EA6">
        <w:rPr>
          <w:rFonts w:ascii="Cambria Math" w:eastAsia="Calibri" w:hAnsi="Cambria Math" w:cs="Cambria Math"/>
          <w:b/>
          <w:color w:val="000000"/>
          <w:sz w:val="24"/>
          <w:szCs w:val="24"/>
          <w:lang w:val="hy-AM"/>
        </w:rPr>
        <w:t>․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696 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(մեկ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ութսուն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ինը հազար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վեց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իննսուն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վեց)</w:t>
      </w:r>
      <w:r w:rsidR="00B36521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917EA6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917EA6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F5AF042" w14:textId="77777777" w:rsidR="00FB494A" w:rsidRPr="003D08A2" w:rsidRDefault="00FB494A" w:rsidP="00FB49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EBFF203" w14:textId="77777777" w:rsidR="00FB494A" w:rsidRPr="003D08A2" w:rsidRDefault="00FB494A" w:rsidP="00FB49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B4355A" w14:textId="77777777" w:rsidR="00FB494A" w:rsidRPr="000641BC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Հանրային ծառայության առնվազն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ստաժ կամ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մասնագիտական աշխատանքային ստաժ կամ փաստաթղթավարության բնագավառում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աշխատանքային ստաժ։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706FBCD9" w14:textId="77777777" w:rsidR="00FB494A" w:rsidRPr="003D08A2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9ACB40A" w14:textId="77777777" w:rsidR="00FB494A" w:rsidRPr="003D08A2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12B8B48F" w14:textId="77777777" w:rsidR="002F7478" w:rsidRPr="00917EA6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4C8A4CCD" w:rsidR="00C46E40" w:rsidRPr="00917EA6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35F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փետրվարի 4</w:t>
      </w:r>
      <w:r w:rsidR="00F35FE4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bookmarkStart w:id="0" w:name="_GoBack"/>
      <w:bookmarkEnd w:id="0"/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7A430D9" w14:textId="236A69BA" w:rsidR="00A326D1" w:rsidRPr="00652B1F" w:rsidRDefault="005C4DB2" w:rsidP="00DC0037">
      <w:pPr>
        <w:pStyle w:val="a3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a4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Հայաստանի Հանրապետություն, </w:t>
      </w:r>
      <w:r w:rsidR="00BE4495" w:rsidRPr="00652B1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652B1F" w:rsidRPr="00652B1F">
        <w:rPr>
          <w:rFonts w:ascii="GHEA Grapalat" w:hAnsi="GHEA Grapalat"/>
          <w:color w:val="000000"/>
          <w:sz w:val="27"/>
          <w:szCs w:val="27"/>
          <w:lang w:val="hy-AM"/>
        </w:rPr>
        <w:t xml:space="preserve">. </w:t>
      </w:r>
      <w:r w:rsidR="00652B1F" w:rsidRPr="00652B1F">
        <w:rPr>
          <w:rFonts w:ascii="GHEA Grapalat" w:hAnsi="GHEA Grapalat"/>
          <w:b/>
          <w:color w:val="000000"/>
          <w:u w:val="single"/>
          <w:lang w:val="hy-AM"/>
        </w:rPr>
        <w:t>Երևան, Քանաքեռ-Զեյթուն վարչական շրջան, Կ. Ուլնեցու 31</w:t>
      </w:r>
      <w:r w:rsidR="00BE4495" w:rsidRPr="00652B1F"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917EA6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9C58F62" w:rsidR="00C631D2" w:rsidRPr="00917EA6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8F038E">
        <w:rPr>
          <w:rFonts w:ascii="GHEA Grapalat" w:hAnsi="GHEA Grapalat" w:cs="Segoe UI"/>
          <w:color w:val="0A0A0A"/>
          <w:lang w:val="hy-AM"/>
        </w:rPr>
        <w:t>06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917EA6">
        <w:rPr>
          <w:rFonts w:ascii="GHEA Grapalat" w:hAnsi="GHEA Grapalat"/>
          <w:bCs/>
          <w:lang w:val="hy-AM"/>
        </w:rPr>
        <w:t>010-</w:t>
      </w:r>
      <w:r w:rsidR="002F7478" w:rsidRPr="00917EA6">
        <w:rPr>
          <w:rFonts w:ascii="GHEA Grapalat" w:hAnsi="GHEA Grapalat"/>
          <w:bCs/>
          <w:lang w:val="hy-AM"/>
        </w:rPr>
        <w:t>596-456</w:t>
      </w:r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0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21"/>
  </w:num>
  <w:num w:numId="18">
    <w:abstractNumId w:val="1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2B1F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8F038E"/>
    <w:rsid w:val="008F0F6A"/>
    <w:rsid w:val="00913429"/>
    <w:rsid w:val="00915132"/>
    <w:rsid w:val="00917EA6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4D13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35FE4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94A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A1EA-1DD1-44EB-AD74-C81418AC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2025-01-30T13:15:00Z</dcterms:created>
  <dcterms:modified xsi:type="dcterms:W3CDTF">2025-01-30T13:15:00Z</dcterms:modified>
</cp:coreProperties>
</file>