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7E59BFB6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1E23CD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ՀԵՐԹԱՓՈԽԻ ՊԵՏԻ (ԾԱԾԿԱԳԻՐ` 27-2ՓԾ-25.17-Կ-151</w:t>
      </w:r>
      <w:r w:rsidR="00EB726A">
        <w:rPr>
          <w:rFonts w:ascii="GHEA Grapalat" w:hAnsi="GHEA Grapalat"/>
          <w:b/>
          <w:sz w:val="24"/>
          <w:szCs w:val="24"/>
          <w:lang w:val="hy-AM"/>
        </w:rPr>
        <w:t>)</w:t>
      </w:r>
      <w:r w:rsidR="00FB7F67" w:rsidRPr="00FB7F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6C2AEE6E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1E23CD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հերթափոխի պետի (ծածկագիր` 27-2ՓԾ-25.17-Կ-151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4DFD80CD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1E23CD">
        <w:rPr>
          <w:rFonts w:ascii="GHEA Grapalat" w:hAnsi="GHEA Grapalat"/>
          <w:sz w:val="24"/>
          <w:szCs w:val="24"/>
          <w:lang w:val="hy-AM"/>
        </w:rPr>
        <w:t>Քաջարանի հրշեջ-փրկարարական ջոկատի հերթափոխի պետի (ծածկագիր` 27-2ՓԾ-25.17-Կ-151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57613EDE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1E23CD">
        <w:rPr>
          <w:rFonts w:ascii="GHEA Grapalat" w:hAnsi="GHEA Grapalat"/>
          <w:sz w:val="24"/>
          <w:szCs w:val="24"/>
          <w:lang w:val="hy-AM"/>
        </w:rPr>
        <w:t>Քաջարանի հրշեջ-փրկարարական ջոկատի հերթափոխի պետի (ծածկագիր` 27-2ՓԾ-25.17-Կ-151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  <w:bookmarkStart w:id="4" w:name="_GoBack"/>
      <w:bookmarkEnd w:id="4"/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7777777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1E23CD"/>
    <w:rsid w:val="00231A3A"/>
    <w:rsid w:val="00245D17"/>
    <w:rsid w:val="00257B42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50C9E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B726A"/>
    <w:rsid w:val="00EC4C32"/>
    <w:rsid w:val="00F47F26"/>
    <w:rsid w:val="00F6742E"/>
    <w:rsid w:val="00F765ED"/>
    <w:rsid w:val="00F847B0"/>
    <w:rsid w:val="00F8768B"/>
    <w:rsid w:val="00F87BCA"/>
    <w:rsid w:val="00FB663E"/>
    <w:rsid w:val="00FB7F67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0E0B-00AD-4EA0-998E-CEC38B54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dcterms:created xsi:type="dcterms:W3CDTF">2020-09-15T06:15:00Z</dcterms:created>
  <dcterms:modified xsi:type="dcterms:W3CDTF">2025-01-30T13:15:00Z</dcterms:modified>
</cp:coreProperties>
</file>