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DDC7DB6" w14:textId="77777777" w:rsidR="009C418E" w:rsidRPr="000E6E4A" w:rsidRDefault="00A54ED8" w:rsidP="009C418E">
      <w:pPr>
        <w:pStyle w:val="Default"/>
        <w:rPr>
          <w:rFonts w:eastAsia="Calibri"/>
          <w:b/>
          <w:bCs/>
          <w:lang w:val="hy-AM"/>
        </w:rPr>
      </w:pPr>
      <w:bookmarkStart w:id="0" w:name="_Hlk172627880"/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lang w:val="hy-AM"/>
        </w:rPr>
        <w:t xml:space="preserve">ը </w:t>
      </w:r>
      <w:r w:rsidRPr="00A54ED8">
        <w:rPr>
          <w:rFonts w:ascii="GHEA Grapalat" w:hAnsi="GHEA Grapalat"/>
          <w:b/>
          <w:bCs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 xml:space="preserve">Միգրացիայի և քաղաքացիության ծառայության </w:t>
      </w:r>
      <w:r w:rsidR="009C418E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</w:p>
    <w:p w14:paraId="12A5598B" w14:textId="09CEBBCD" w:rsidR="00A54ED8" w:rsidRPr="00A54ED8" w:rsidRDefault="009C418E" w:rsidP="009C418E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0E6E4A">
        <w:rPr>
          <w:rFonts w:ascii="GHEA Grapalat" w:eastAsia="Calibri" w:hAnsi="GHEA Grapalat"/>
          <w:b/>
          <w:bCs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Pr="000E6E4A">
        <w:rPr>
          <w:rFonts w:ascii="GHEA Grapalat" w:eastAsia="Calibri" w:hAnsi="GHEA Grapalat"/>
          <w:b/>
          <w:bCs/>
          <w:lang w:val="hy-AM"/>
        </w:rPr>
        <w:t>12-Մ4-2)</w:t>
      </w:r>
      <w:r>
        <w:rPr>
          <w:rFonts w:ascii="GHEA Grapalat" w:eastAsia="Calibri" w:hAnsi="GHEA Grapalat"/>
          <w:b/>
          <w:bCs/>
          <w:lang w:val="hy-AM"/>
        </w:rPr>
        <w:t xml:space="preserve"> </w:t>
      </w:r>
      <w:r w:rsidR="00A54ED8"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պաշտոնը զբաղեցնելու համար 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35306EA3" w14:textId="12E4FBDA" w:rsidR="009C418E" w:rsidRPr="00437528" w:rsidRDefault="00B4032F" w:rsidP="009C418E">
      <w:pPr>
        <w:pStyle w:val="Defaul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9C418E" w:rsidRPr="00437528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9C418E" w:rsidRPr="0043752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9C418E" w:rsidRPr="00437528">
        <w:rPr>
          <w:rFonts w:ascii="GHEA Grapalat" w:hAnsi="GHEA Grapalat"/>
          <w:b/>
          <w:bCs/>
          <w:lang w:val="hy-AM"/>
        </w:rPr>
        <w:t>, Ա. Սարգսյան 22</w:t>
      </w:r>
    </w:p>
    <w:p w14:paraId="6A0BE983" w14:textId="1E1125D4" w:rsidR="00765A1D" w:rsidRPr="00765A1D" w:rsidRDefault="00765A1D" w:rsidP="00765A1D">
      <w:pPr>
        <w:pStyle w:val="Default"/>
        <w:rPr>
          <w:rFonts w:ascii="GHEA Grapalat" w:hAnsi="GHEA Grapalat" w:cs="Sylfaen"/>
          <w:lang w:val="hy-AM"/>
        </w:rPr>
      </w:pPr>
    </w:p>
    <w:p w14:paraId="4A07516C" w14:textId="77FB1FCB" w:rsidR="00D6055E" w:rsidRPr="00B4032F" w:rsidRDefault="00995819" w:rsidP="00F4353C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F4353C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="00F4353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12-Մ4-2)</w:t>
      </w:r>
      <w:r w:rsidR="00F4353C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09E1C19F" w:rsidR="00D6055E" w:rsidRDefault="00995819" w:rsidP="00F4353C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4353C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="00F4353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12-Մ4-2)</w:t>
      </w:r>
      <w:r w:rsidR="00057739" w:rsidRPr="00057739">
        <w:rPr>
          <w:rFonts w:ascii="GHEA Grapalat" w:eastAsia="Calibri" w:hAnsi="GHEA Grapalat" w:cs="Arial"/>
          <w:b/>
          <w:bCs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77777777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1B7786CC" w:rsidR="00D6055E" w:rsidRPr="00BD0CEF" w:rsidRDefault="00992FA2" w:rsidP="00F4353C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F4353C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F4353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12-Մ4-2)</w:t>
      </w:r>
      <w:r w:rsidR="00057739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554AD298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24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29F8C1DD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200711" w:rsidRPr="002131A1">
        <w:rPr>
          <w:rFonts w:ascii="GHEA Grapalat" w:hAnsi="GHEA Grapalat" w:cs="Sylfaen"/>
          <w:b/>
          <w:bCs/>
          <w:sz w:val="24"/>
          <w:szCs w:val="24"/>
          <w:lang w:val="hy-AM"/>
        </w:rPr>
        <w:t>19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F4353C">
        <w:rPr>
          <w:rFonts w:ascii="GHEA Grapalat" w:hAnsi="GHEA Grapalat" w:cs="Sylfaen"/>
          <w:b/>
          <w:bCs/>
          <w:sz w:val="24"/>
          <w:szCs w:val="24"/>
          <w:lang w:val="hy-AM"/>
        </w:rPr>
        <w:t>11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:30-ին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65A69236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F4353C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2CE97B0" w14:textId="24A8D5B7" w:rsidR="002131A1" w:rsidRPr="008C4A92" w:rsidRDefault="00A54ED8" w:rsidP="00A54ED8">
      <w:pPr>
        <w:widowControl w:val="0"/>
        <w:shd w:val="clear" w:color="auto" w:fill="FFFFFF"/>
        <w:spacing w:after="0"/>
        <w:ind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8C4A92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հազար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131A1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131A1" w:rsidRPr="008C4A9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719F0519" w14:textId="00392952" w:rsidR="00D6055E" w:rsidRPr="008C4A92" w:rsidRDefault="00D6055E" w:rsidP="008C4A9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5A6E69F" w14:textId="77777777" w:rsidR="00A54ED8" w:rsidRDefault="00A54ED8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0D9058A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475D7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360168A9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F18E1E6" w14:textId="77777777" w:rsidR="008C4A92" w:rsidRPr="00E72EFE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289F31D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7AD30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ECC117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5C69BA2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1F19D87" w14:textId="74C3E511" w:rsidR="008563FE" w:rsidRPr="007475D7" w:rsidRDefault="008C4A9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</w:t>
      </w:r>
      <w:r w:rsidR="008563FE" w:rsidRPr="007475D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7475D7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63B4283D" w14:textId="21A3B877" w:rsidR="00A54ED8" w:rsidRPr="00A41B05" w:rsidRDefault="00A54ED8" w:rsidP="00A54ED8">
      <w:pPr>
        <w:shd w:val="clear" w:color="auto" w:fill="FFFFFF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117891B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5979EB7F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354C49D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4AB8B93B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7A4EC718" w14:textId="0CA76F86" w:rsidR="003A4C51" w:rsidRPr="00A54ED8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A41B05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A41B05" w:rsidRDefault="00F4353C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A41B05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A41B05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2BF607B7" w:rsidR="00C81271" w:rsidRPr="00BB1B60" w:rsidRDefault="00F4353C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3" w:history="1">
        <w:r w:rsidR="00BB1B60" w:rsidRPr="00BB1B60">
          <w:rPr>
            <w:rStyle w:val="Hyperlink"/>
            <w:sz w:val="24"/>
            <w:szCs w:val="24"/>
          </w:rPr>
          <w:t>arlis.am/</w:t>
        </w:r>
        <w:proofErr w:type="spellStart"/>
        <w:r w:rsidR="00BB1B60" w:rsidRPr="00BB1B60">
          <w:rPr>
            <w:rStyle w:val="Hyperlink"/>
            <w:sz w:val="24"/>
            <w:szCs w:val="24"/>
          </w:rPr>
          <w:t>documentview.aspx?docid</w:t>
        </w:r>
        <w:proofErr w:type="spellEnd"/>
        <w:r w:rsidR="00BB1B60" w:rsidRPr="00BB1B60">
          <w:rPr>
            <w:rStyle w:val="Hyperlink"/>
            <w:sz w:val="24"/>
            <w:szCs w:val="24"/>
          </w:rPr>
          <w:t>=200941</w:t>
        </w:r>
      </w:hyperlink>
    </w:p>
    <w:p w14:paraId="1892B513" w14:textId="77777777" w:rsidR="00BB1B60" w:rsidRPr="00A41B05" w:rsidRDefault="00BB1B60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A41B05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A41B05" w:rsidRDefault="00F4353C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A41B05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A41B05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A41B05" w:rsidRDefault="00F4353C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A41B05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A41B05" w:rsidRDefault="00F4353C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A41B0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A41B05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A41B05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A41B05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A41B05" w:rsidRDefault="00F4353C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A41B05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A41B05" w:rsidRDefault="00F4353C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A41B0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A41B05" w:rsidRDefault="00F4353C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A41B05" w:rsidRDefault="00F4353C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A41B05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A41B05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A41B05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A41B05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A41B05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A41B05" w:rsidRDefault="00F4353C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A41B05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A41B05" w:rsidRDefault="00F4353C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A41B05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F4353C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A54ED8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00711"/>
    <w:rsid w:val="002131A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4A9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C418E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4353C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74</cp:revision>
  <cp:lastPrinted>2024-08-29T11:32:00Z</cp:lastPrinted>
  <dcterms:created xsi:type="dcterms:W3CDTF">2024-05-29T12:42:00Z</dcterms:created>
  <dcterms:modified xsi:type="dcterms:W3CDTF">2025-02-18T06:25:00Z</dcterms:modified>
</cp:coreProperties>
</file>