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4FE7684" w14:textId="77777777" w:rsidR="00C607CD" w:rsidRDefault="002710FF" w:rsidP="00106ABD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2710FF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  <w:r w:rsidR="00CA070B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՝ քաղաքացիական ծառայության </w:t>
      </w:r>
    </w:p>
    <w:p w14:paraId="4610D127" w14:textId="69AFB6A3" w:rsidR="00D6055E" w:rsidRPr="00C31A10" w:rsidRDefault="00D6055E" w:rsidP="00106ABD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31A10">
        <w:rPr>
          <w:rFonts w:ascii="GHEA Grapalat" w:hAnsi="GHEA Grapalat"/>
          <w:b/>
          <w:sz w:val="24"/>
          <w:szCs w:val="24"/>
          <w:lang w:val="hy-AM" w:eastAsia="hy-AM"/>
        </w:rPr>
        <w:t>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AB8462C" w14:textId="4054FAB6" w:rsidR="00CA070B" w:rsidRPr="000C49AD" w:rsidRDefault="002710FF" w:rsidP="00A26AF0">
      <w:pPr>
        <w:pStyle w:val="Default"/>
        <w:rPr>
          <w:rFonts w:eastAsia="Calibri"/>
          <w:b/>
          <w:bCs/>
          <w:lang w:val="hy-AM"/>
        </w:rPr>
      </w:pPr>
      <w:r w:rsidRPr="006A1051">
        <w:rPr>
          <w:rFonts w:ascii="GHEA Grapalat" w:hAnsi="GHEA Grapalat"/>
          <w:lang w:val="hy-AM"/>
        </w:rPr>
        <w:t>Հայաստանի Հանրապետության</w:t>
      </w:r>
      <w:r w:rsidR="00C31A10" w:rsidRPr="00C31A10">
        <w:rPr>
          <w:rFonts w:ascii="GHEA Grapalat" w:hAnsi="GHEA Grapalat"/>
          <w:lang w:val="hy-AM"/>
        </w:rPr>
        <w:t xml:space="preserve"> ներքին գործերի նախարարությունը </w:t>
      </w:r>
      <w:r w:rsidR="00C31A10"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106ABD">
        <w:rPr>
          <w:rFonts w:ascii="GHEA Grapalat" w:eastAsia="Calibri" w:hAnsi="GHEA Grapalat"/>
          <w:b/>
          <w:bCs/>
          <w:lang w:val="hy-AM"/>
        </w:rPr>
        <w:t>Քանաքեռ Զեյթուն</w:t>
      </w:r>
      <w:r w:rsidR="00AF73B8">
        <w:rPr>
          <w:rFonts w:ascii="GHEA Grapalat" w:eastAsia="Calibri" w:hAnsi="GHEA Grapalat"/>
          <w:b/>
          <w:bCs/>
          <w:lang w:val="hy-AM"/>
        </w:rPr>
        <w:t xml:space="preserve">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 բաժնի ավա</w:t>
      </w:r>
      <w:r w:rsidR="000C49AD">
        <w:rPr>
          <w:rFonts w:ascii="GHEA Grapalat" w:eastAsia="Calibri" w:hAnsi="GHEA Grapalat"/>
          <w:b/>
          <w:bCs/>
          <w:lang w:val="hy-AM"/>
        </w:rPr>
        <w:t xml:space="preserve">գ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մասնագետի 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0E6E4A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>11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>4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4D7F2C8F" w14:textId="38BF86CD" w:rsidR="00250B2A" w:rsidRDefault="00D6055E" w:rsidP="00A26AF0">
      <w:pPr>
        <w:pStyle w:val="Default"/>
        <w:rPr>
          <w:rFonts w:ascii="GHEA Grapalat" w:hAnsi="GHEA Grapalat"/>
          <w:b/>
          <w:bCs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2710FF" w:rsidRPr="002710FF">
        <w:rPr>
          <w:rFonts w:ascii="GHEA Grapalat" w:hAnsi="GHEA Grapalat"/>
          <w:b/>
          <w:bCs/>
          <w:lang w:val="hy-AM"/>
        </w:rPr>
        <w:t>Հայաստանի Հանրապետությ</w:t>
      </w:r>
      <w:r w:rsidR="002710FF">
        <w:rPr>
          <w:rFonts w:ascii="GHEA Grapalat" w:hAnsi="GHEA Grapalat"/>
          <w:b/>
          <w:bCs/>
          <w:lang w:val="hy-AM"/>
        </w:rPr>
        <w:t>ու</w:t>
      </w:r>
      <w:r w:rsidR="002710FF" w:rsidRPr="002710FF">
        <w:rPr>
          <w:rFonts w:ascii="GHEA Grapalat" w:hAnsi="GHEA Grapalat"/>
          <w:b/>
          <w:bCs/>
          <w:lang w:val="hy-AM"/>
        </w:rPr>
        <w:t>ն</w:t>
      </w:r>
      <w:r w:rsidR="002710FF">
        <w:rPr>
          <w:rFonts w:ascii="GHEA Grapalat" w:hAnsi="GHEA Grapalat"/>
          <w:b/>
          <w:bCs/>
          <w:lang w:val="hy-AM"/>
        </w:rPr>
        <w:t>,</w:t>
      </w:r>
      <w:r w:rsidR="002710FF" w:rsidRPr="006A1051">
        <w:rPr>
          <w:rFonts w:ascii="GHEA Grapalat" w:hAnsi="GHEA Grapalat"/>
          <w:lang w:val="hy-AM"/>
        </w:rPr>
        <w:t xml:space="preserve"> </w:t>
      </w:r>
      <w:r w:rsidR="00106ABD" w:rsidRPr="00106ABD">
        <w:rPr>
          <w:rFonts w:ascii="GHEA Grapalat" w:hAnsi="GHEA Grapalat"/>
          <w:b/>
          <w:bCs/>
          <w:lang w:val="hy-AM"/>
        </w:rPr>
        <w:t xml:space="preserve"> ք. </w:t>
      </w:r>
      <w:proofErr w:type="spellStart"/>
      <w:r w:rsidR="00106ABD" w:rsidRPr="00106ABD">
        <w:rPr>
          <w:rFonts w:ascii="GHEA Grapalat" w:hAnsi="GHEA Grapalat"/>
          <w:b/>
          <w:bCs/>
          <w:lang w:val="hy-AM"/>
        </w:rPr>
        <w:t>Երևան</w:t>
      </w:r>
      <w:proofErr w:type="spellEnd"/>
      <w:r w:rsidR="00106ABD" w:rsidRPr="00106ABD">
        <w:rPr>
          <w:rFonts w:ascii="GHEA Grapalat" w:hAnsi="GHEA Grapalat"/>
          <w:b/>
          <w:bCs/>
          <w:lang w:val="hy-AM"/>
        </w:rPr>
        <w:t>, Ահարոնյան փ. 3</w:t>
      </w:r>
      <w:r w:rsidR="00106ABD">
        <w:rPr>
          <w:rFonts w:ascii="GHEA Grapalat" w:hAnsi="GHEA Grapalat"/>
          <w:b/>
          <w:bCs/>
          <w:lang w:val="hy-AM"/>
        </w:rPr>
        <w:t>։</w:t>
      </w:r>
    </w:p>
    <w:p w14:paraId="26A33F90" w14:textId="77777777" w:rsidR="00106ABD" w:rsidRPr="00106ABD" w:rsidRDefault="00106ABD" w:rsidP="00A26AF0">
      <w:pPr>
        <w:pStyle w:val="Default"/>
        <w:rPr>
          <w:rFonts w:ascii="GHEA Grapalat" w:hAnsi="GHEA Grapalat"/>
          <w:b/>
          <w:bCs/>
          <w:lang w:val="hy-AM"/>
        </w:rPr>
      </w:pPr>
    </w:p>
    <w:p w14:paraId="559FA09C" w14:textId="77777777" w:rsidR="00250B2A" w:rsidRPr="001B064F" w:rsidRDefault="00250B2A" w:rsidP="00A26AF0">
      <w:pPr>
        <w:tabs>
          <w:tab w:val="left" w:pos="567"/>
        </w:tabs>
        <w:spacing w:after="0" w:line="240" w:lineRule="auto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Արտաքին մրցույթին կարող են մասնակցել </w:t>
      </w:r>
      <w:r w:rsidRPr="006A105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0B5BA397" w14:textId="77777777" w:rsidR="00250B2A" w:rsidRDefault="00250B2A" w:rsidP="00A26AF0">
      <w:pPr>
        <w:pStyle w:val="Default"/>
        <w:rPr>
          <w:rFonts w:ascii="GHEA Grapalat" w:hAnsi="GHEA Grapalat"/>
          <w:b/>
          <w:bCs/>
          <w:lang w:val="hy-AM"/>
        </w:rPr>
      </w:pPr>
    </w:p>
    <w:p w14:paraId="6CE2D386" w14:textId="77777777" w:rsidR="00AF73B8" w:rsidRPr="00AF73B8" w:rsidRDefault="00AF73B8" w:rsidP="00A26AF0">
      <w:pPr>
        <w:pStyle w:val="Default"/>
        <w:rPr>
          <w:lang w:val="hy-AM"/>
        </w:rPr>
      </w:pPr>
    </w:p>
    <w:p w14:paraId="4A07516C" w14:textId="75D70B4C" w:rsidR="00D6055E" w:rsidRDefault="00B21158" w:rsidP="00A26AF0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5665A7">
        <w:rPr>
          <w:rFonts w:ascii="GHEA Grapalat" w:eastAsia="Calibri" w:hAnsi="GHEA Grapalat" w:cs="Sylfaen"/>
          <w:b/>
          <w:color w:val="auto"/>
          <w:lang w:val="hy-AM"/>
        </w:rPr>
        <w:t>Միգրացիայի և քաղաքացիության ծառայության</w:t>
      </w:r>
      <w:r w:rsidR="00995819" w:rsidRPr="005665A7">
        <w:rPr>
          <w:rFonts w:ascii="GHEA Grapalat" w:hAnsi="GHEA Grapalat"/>
          <w:b/>
          <w:lang w:val="hy-AM" w:eastAsia="hy-AM"/>
        </w:rPr>
        <w:t xml:space="preserve"> </w:t>
      </w:r>
      <w:r w:rsidR="00106ABD" w:rsidRPr="005665A7">
        <w:rPr>
          <w:rFonts w:ascii="GHEA Grapalat" w:eastAsia="Calibri" w:hAnsi="GHEA Grapalat"/>
          <w:b/>
          <w:lang w:val="hy-AM"/>
        </w:rPr>
        <w:t xml:space="preserve">Քանաքեռ Զեյթուն  բաժնի ավագ մասնագետի </w:t>
      </w:r>
      <w:r w:rsidR="00106ABD" w:rsidRPr="005665A7">
        <w:rPr>
          <w:rFonts w:ascii="GHEA Grapalat" w:eastAsia="Calibri" w:hAnsi="GHEA Grapalat"/>
          <w:b/>
          <w:color w:val="auto"/>
          <w:lang w:val="hy-AM"/>
        </w:rPr>
        <w:t>(27-3-22</w:t>
      </w:r>
      <w:r w:rsidR="00106ABD" w:rsidRPr="005665A7">
        <w:rPr>
          <w:rFonts w:ascii="Cambria Math" w:eastAsia="Calibri" w:hAnsi="Cambria Math" w:cs="Cambria Math"/>
          <w:b/>
          <w:color w:val="auto"/>
          <w:lang w:val="hy-AM"/>
        </w:rPr>
        <w:t>․</w:t>
      </w:r>
      <w:r w:rsidR="00106ABD" w:rsidRPr="005665A7">
        <w:rPr>
          <w:rFonts w:ascii="GHEA Grapalat" w:eastAsia="Calibri" w:hAnsi="GHEA Grapalat"/>
          <w:b/>
          <w:color w:val="auto"/>
          <w:lang w:val="hy-AM"/>
        </w:rPr>
        <w:t>11-Մ4-4)</w:t>
      </w:r>
      <w:r w:rsidR="00106ABD">
        <w:rPr>
          <w:rFonts w:ascii="GHEA Grapalat" w:eastAsia="Calibri" w:hAnsi="GHEA Grapalat"/>
          <w:b/>
          <w:bCs/>
          <w:color w:val="auto"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002E23C7" w:rsidR="00D6055E" w:rsidRDefault="00B21158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5665A7">
        <w:rPr>
          <w:rFonts w:ascii="GHEA Grapalat" w:eastAsia="Calibri" w:hAnsi="GHEA Grapalat" w:cs="Sylfaen"/>
          <w:b/>
          <w:color w:val="auto"/>
          <w:lang w:val="hy-AM"/>
        </w:rPr>
        <w:t>Միգրացիայի և քաղաքացիության ծառայության</w:t>
      </w:r>
      <w:r w:rsidR="00AF73B8" w:rsidRPr="005665A7">
        <w:rPr>
          <w:rFonts w:ascii="GHEA Grapalat" w:hAnsi="GHEA Grapalat"/>
          <w:b/>
          <w:lang w:val="hy-AM" w:eastAsia="hy-AM"/>
        </w:rPr>
        <w:t xml:space="preserve"> </w:t>
      </w:r>
      <w:r w:rsidR="00106ABD" w:rsidRPr="005665A7">
        <w:rPr>
          <w:rFonts w:ascii="GHEA Grapalat" w:eastAsia="Calibri" w:hAnsi="GHEA Grapalat"/>
          <w:b/>
          <w:lang w:val="hy-AM"/>
        </w:rPr>
        <w:t xml:space="preserve">Քանաքեռ Զեյթուն  բաժնի ավագ մասնագետի </w:t>
      </w:r>
      <w:r w:rsidR="00106ABD" w:rsidRPr="005665A7">
        <w:rPr>
          <w:rFonts w:ascii="GHEA Grapalat" w:eastAsia="Calibri" w:hAnsi="GHEA Grapalat"/>
          <w:b/>
          <w:color w:val="auto"/>
          <w:lang w:val="hy-AM"/>
        </w:rPr>
        <w:t>(27-3-22</w:t>
      </w:r>
      <w:r w:rsidR="00106ABD" w:rsidRPr="005665A7">
        <w:rPr>
          <w:rFonts w:ascii="Cambria Math" w:eastAsia="Calibri" w:hAnsi="Cambria Math" w:cs="Cambria Math"/>
          <w:b/>
          <w:color w:val="auto"/>
          <w:lang w:val="hy-AM"/>
        </w:rPr>
        <w:t>․</w:t>
      </w:r>
      <w:r w:rsidR="00106ABD" w:rsidRPr="005665A7">
        <w:rPr>
          <w:rFonts w:ascii="GHEA Grapalat" w:eastAsia="Calibri" w:hAnsi="GHEA Grapalat"/>
          <w:b/>
          <w:color w:val="auto"/>
          <w:lang w:val="hy-AM"/>
        </w:rPr>
        <w:t>11-Մ4-4)</w:t>
      </w:r>
      <w:r w:rsidR="000E6E4A">
        <w:rPr>
          <w:rFonts w:ascii="GHEA Grapalat" w:hAnsi="GHEA Grapalat" w:cs="Sylfaen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2D3B5165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106A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106ABD" w:rsidRPr="006B080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1E9705C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22C57198" w14:textId="77777777" w:rsidR="00106ABD" w:rsidRDefault="00106ABD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</w:p>
    <w:p w14:paraId="7ED41277" w14:textId="1C25CF53" w:rsidR="00D6055E" w:rsidRPr="00AF73B8" w:rsidRDefault="00B21158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5665A7">
        <w:rPr>
          <w:rFonts w:ascii="GHEA Grapalat" w:eastAsia="Calibri" w:hAnsi="GHEA Grapalat" w:cs="Sylfaen"/>
          <w:b/>
          <w:color w:val="auto"/>
          <w:lang w:val="hy-AM"/>
        </w:rPr>
        <w:t>Միգրացիայի և քաղաքացիության ծառայության</w:t>
      </w:r>
      <w:r w:rsidR="00AF73B8" w:rsidRPr="005665A7">
        <w:rPr>
          <w:rFonts w:ascii="GHEA Grapalat" w:hAnsi="GHEA Grapalat"/>
          <w:b/>
          <w:lang w:val="hy-AM" w:eastAsia="hy-AM"/>
        </w:rPr>
        <w:t xml:space="preserve"> </w:t>
      </w:r>
      <w:r w:rsidR="00106ABD" w:rsidRPr="005665A7">
        <w:rPr>
          <w:rFonts w:ascii="GHEA Grapalat" w:eastAsia="Calibri" w:hAnsi="GHEA Grapalat"/>
          <w:b/>
          <w:lang w:val="hy-AM"/>
        </w:rPr>
        <w:t xml:space="preserve">Քանաքեռ Զեյթուն  բաժնի ավագ մասնագետի </w:t>
      </w:r>
      <w:r w:rsidR="00106ABD" w:rsidRPr="005665A7">
        <w:rPr>
          <w:rFonts w:ascii="GHEA Grapalat" w:eastAsia="Calibri" w:hAnsi="GHEA Grapalat"/>
          <w:b/>
          <w:color w:val="auto"/>
          <w:lang w:val="hy-AM"/>
        </w:rPr>
        <w:t>(27-3-22</w:t>
      </w:r>
      <w:r w:rsidR="00106ABD" w:rsidRPr="005665A7">
        <w:rPr>
          <w:rFonts w:ascii="Cambria Math" w:eastAsia="Calibri" w:hAnsi="Cambria Math" w:cs="Cambria Math"/>
          <w:b/>
          <w:color w:val="auto"/>
          <w:lang w:val="hy-AM"/>
        </w:rPr>
        <w:t>․</w:t>
      </w:r>
      <w:r w:rsidR="00106ABD" w:rsidRPr="005665A7">
        <w:rPr>
          <w:rFonts w:ascii="GHEA Grapalat" w:eastAsia="Calibri" w:hAnsi="GHEA Grapalat"/>
          <w:b/>
          <w:color w:val="auto"/>
          <w:lang w:val="hy-AM"/>
        </w:rPr>
        <w:t>11-Մ4-4)</w:t>
      </w:r>
      <w:r w:rsidR="000E6E4A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1095CEB" w14:textId="71890AF9" w:rsidR="00B21158" w:rsidRPr="00B21158" w:rsidRDefault="00B21158" w:rsidP="00B21158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2115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B2115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B2115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1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B2115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.06.2025թ. ներառյալ: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24E92D86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9B2E8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52D3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թվականի </w:t>
      </w:r>
      <w:r w:rsidR="009B2E8B">
        <w:rPr>
          <w:rFonts w:ascii="GHEA Grapalat" w:hAnsi="GHEA Grapalat" w:cs="Sylfaen"/>
          <w:b/>
          <w:sz w:val="24"/>
          <w:szCs w:val="24"/>
          <w:lang w:val="hy-AM"/>
        </w:rPr>
        <w:t>հուլիս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652D3F" w:rsidRPr="00652D3F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9B2E8B">
        <w:rPr>
          <w:rFonts w:ascii="GHEA Grapalat" w:hAnsi="GHEA Grapalat" w:cs="Sylfaen"/>
          <w:b/>
          <w:sz w:val="24"/>
          <w:szCs w:val="24"/>
          <w:lang w:val="hy-AM"/>
        </w:rPr>
        <w:t>17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AF73B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B2E8B">
        <w:rPr>
          <w:rFonts w:ascii="GHEA Grapalat" w:hAnsi="GHEA Grapalat" w:cs="Sylfaen"/>
          <w:b/>
          <w:sz w:val="24"/>
          <w:szCs w:val="24"/>
          <w:lang w:val="hy-AM"/>
        </w:rPr>
        <w:t>09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106ABD">
        <w:rPr>
          <w:rFonts w:ascii="GHEA Grapalat" w:hAnsi="GHEA Grapalat" w:cs="Sylfaen"/>
          <w:b/>
          <w:sz w:val="24"/>
          <w:szCs w:val="24"/>
          <w:lang w:val="hy-AM"/>
        </w:rPr>
        <w:t>30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Pr="00652D3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106ABD" w:rsidRPr="00106A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</w:t>
      </w:r>
      <w:r w:rsidR="00106A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յու</w:t>
      </w:r>
      <w:r w:rsidR="00106ABD" w:rsidRPr="00106A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53D19D01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9B2E8B" w:rsidRPr="009B2E8B">
        <w:rPr>
          <w:rFonts w:ascii="GHEA Grapalat" w:hAnsi="GHEA Grapalat" w:cs="Helvetica"/>
          <w:b/>
          <w:sz w:val="24"/>
          <w:szCs w:val="24"/>
          <w:lang w:val="hy-AM"/>
        </w:rPr>
        <w:t xml:space="preserve">2025 թվականի հուլիսի </w:t>
      </w:r>
      <w:r w:rsidR="009B2E8B">
        <w:rPr>
          <w:rFonts w:ascii="GHEA Grapalat" w:hAnsi="GHEA Grapalat" w:cs="Helvetica"/>
          <w:b/>
          <w:sz w:val="24"/>
          <w:szCs w:val="24"/>
          <w:lang w:val="hy-AM"/>
        </w:rPr>
        <w:t>21</w:t>
      </w:r>
      <w:r w:rsidR="009B2E8B" w:rsidRPr="009B2E8B">
        <w:rPr>
          <w:rFonts w:ascii="GHEA Grapalat" w:hAnsi="GHEA Grapalat" w:cs="Helvetica"/>
          <w:b/>
          <w:sz w:val="24"/>
          <w:szCs w:val="24"/>
          <w:lang w:val="hy-AM"/>
        </w:rPr>
        <w:t>-ին</w:t>
      </w:r>
      <w:r w:rsidR="009B2E8B" w:rsidRPr="009B2E8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52D3F" w:rsidRPr="00652D3F">
        <w:rPr>
          <w:rFonts w:ascii="GHEA Grapalat" w:hAnsi="GHEA Grapalat" w:cs="Sylfaen"/>
          <w:bCs/>
          <w:sz w:val="24"/>
          <w:szCs w:val="24"/>
          <w:lang w:val="hy-AM"/>
        </w:rPr>
        <w:t xml:space="preserve">՝ 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ժամը 1</w:t>
      </w:r>
      <w:r w:rsidR="009B2E8B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D24C8B" w:rsidRPr="00E038EE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0-ին</w:t>
      </w:r>
      <w:r w:rsidRPr="00E038EE">
        <w:rPr>
          <w:rFonts w:ascii="GHEA Grapalat" w:hAnsi="GHEA Grapalat" w:cs="Helvetica"/>
          <w:b/>
          <w:sz w:val="24"/>
          <w:szCs w:val="24"/>
          <w:lang w:val="hy-AM"/>
        </w:rPr>
        <w:t>,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106ABD" w:rsidRPr="00106ABD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</w:t>
      </w:r>
      <w:r w:rsidR="00106ABD">
        <w:rPr>
          <w:rFonts w:ascii="GHEA Grapalat" w:hAnsi="GHEA Grapalat" w:cs="Sylfaen"/>
          <w:b/>
          <w:bCs/>
          <w:sz w:val="24"/>
          <w:szCs w:val="24"/>
          <w:lang w:val="hy-AM"/>
        </w:rPr>
        <w:t>ու</w:t>
      </w:r>
      <w:r w:rsidR="00106ABD" w:rsidRPr="00106ABD">
        <w:rPr>
          <w:rFonts w:ascii="GHEA Grapalat" w:hAnsi="GHEA Grapalat" w:cs="Sylfaen"/>
          <w:b/>
          <w:bCs/>
          <w:sz w:val="24"/>
          <w:szCs w:val="24"/>
          <w:lang w:val="hy-AM"/>
        </w:rPr>
        <w:t>ն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1767CC8D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1E21A9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2F19A7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C607CD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F97D92" w:rsidRDefault="00C607CD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C607CD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proofErr w:type="spellStart"/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1E21A9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1E21A9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4FEB9B3F" w14:textId="4C6DC105" w:rsidR="003A4C51" w:rsidRPr="0005425D" w:rsidRDefault="002710FF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A1051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4D4FC838" w14:textId="2C72265E" w:rsidR="008328B2" w:rsidRPr="005665A7" w:rsidRDefault="005665A7" w:rsidP="008328B2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2" w:history="1">
        <w:r w:rsidRPr="005665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</w:t>
        </w:r>
      </w:hyperlink>
    </w:p>
    <w:p w14:paraId="17A4C36D" w14:textId="77777777" w:rsidR="005665A7" w:rsidRPr="005665A7" w:rsidRDefault="005665A7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0D66AD16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038EE" w:rsidRPr="00E038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37805FBE" w:rsidR="00C81271" w:rsidRDefault="005665A7" w:rsidP="00C81271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3" w:history="1">
        <w:r w:rsidRPr="00E979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1CA335FE" w14:textId="77777777" w:rsidR="005665A7" w:rsidRPr="005665A7" w:rsidRDefault="005665A7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34FA920" w14:textId="778A2BAF" w:rsidR="00C81271" w:rsidRPr="005665A7" w:rsidRDefault="005665A7" w:rsidP="00C81271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4" w:history="1">
        <w:r w:rsidRPr="005665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https://www.arlis.am/hy/acts/187796</w:t>
        </w:r>
      </w:hyperlink>
    </w:p>
    <w:p w14:paraId="2219653B" w14:textId="77777777" w:rsidR="005665A7" w:rsidRPr="005665A7" w:rsidRDefault="005665A7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5458E15" w14:textId="4A149126" w:rsidR="00E46682" w:rsidRPr="005665A7" w:rsidRDefault="005665A7" w:rsidP="007268AB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5" w:history="1">
        <w:r w:rsidRPr="005665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https://www.arlis.am/hy/acts/183134</w:t>
        </w:r>
      </w:hyperlink>
    </w:p>
    <w:p w14:paraId="4AA963EF" w14:textId="77777777" w:rsidR="005665A7" w:rsidRPr="005665A7" w:rsidRDefault="005665A7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C607CD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1AFAAA7C" w:rsidR="00550E0B" w:rsidRPr="005665A7" w:rsidRDefault="005665A7" w:rsidP="00E46682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7" w:history="1">
        <w:r w:rsidRPr="005665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https://www.arlis.am/hy/acts/193804</w:t>
        </w:r>
      </w:hyperlink>
    </w:p>
    <w:p w14:paraId="485DA2C6" w14:textId="77777777" w:rsidR="005665A7" w:rsidRPr="005665A7" w:rsidRDefault="005665A7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C607CD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5C4F8134" w14:textId="1C6399E6" w:rsidR="005665A7" w:rsidRPr="005665A7" w:rsidRDefault="005665A7" w:rsidP="002247FB">
      <w:pPr>
        <w:spacing w:after="0"/>
        <w:rPr>
          <w:rFonts w:ascii="GHEA Grapalat" w:hAnsi="GHEA Grapalat"/>
          <w:sz w:val="24"/>
          <w:szCs w:val="24"/>
          <w:lang w:val="hy-AM"/>
        </w:rPr>
      </w:pPr>
      <w:hyperlink r:id="rId19" w:history="1">
        <w:r w:rsidRPr="005665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https://www.arlis.am/hy/acts/190392</w:t>
        </w:r>
      </w:hyperlink>
    </w:p>
    <w:p w14:paraId="63A93919" w14:textId="46F5BC8E" w:rsidR="00421892" w:rsidRPr="0005425D" w:rsidRDefault="00C607CD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20FD2369" w14:textId="2FB090F5" w:rsidR="005665A7" w:rsidRDefault="005665A7" w:rsidP="00550E0B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</w:rPr>
      </w:pPr>
      <w:hyperlink r:id="rId21" w:history="1">
        <w:r w:rsidRPr="005665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</w:t>
        </w:r>
      </w:hyperlink>
    </w:p>
    <w:p w14:paraId="23B5D2C2" w14:textId="77777777" w:rsidR="005665A7" w:rsidRPr="005665A7" w:rsidRDefault="005665A7" w:rsidP="00550E0B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2EE92BF5" w14:textId="4D9D2765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C607CD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C607CD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106ABD">
      <w:pgSz w:w="12240" w:h="15840"/>
      <w:pgMar w:top="567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41794"/>
    <w:rsid w:val="0005425D"/>
    <w:rsid w:val="000904BB"/>
    <w:rsid w:val="00093BED"/>
    <w:rsid w:val="000A7127"/>
    <w:rsid w:val="000B4A05"/>
    <w:rsid w:val="000C49AD"/>
    <w:rsid w:val="000E6E4A"/>
    <w:rsid w:val="000F19BA"/>
    <w:rsid w:val="000F2AB4"/>
    <w:rsid w:val="001031D6"/>
    <w:rsid w:val="00106ABD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1A9"/>
    <w:rsid w:val="001E7EBC"/>
    <w:rsid w:val="001F0F21"/>
    <w:rsid w:val="002247FB"/>
    <w:rsid w:val="00234AF1"/>
    <w:rsid w:val="00250B2A"/>
    <w:rsid w:val="002710FF"/>
    <w:rsid w:val="002A42D5"/>
    <w:rsid w:val="002B0B45"/>
    <w:rsid w:val="002F19A7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65F88"/>
    <w:rsid w:val="004818AD"/>
    <w:rsid w:val="00497EB4"/>
    <w:rsid w:val="004B6BAA"/>
    <w:rsid w:val="004C794F"/>
    <w:rsid w:val="004D348C"/>
    <w:rsid w:val="004F4E62"/>
    <w:rsid w:val="00550E0B"/>
    <w:rsid w:val="00552F12"/>
    <w:rsid w:val="005665A7"/>
    <w:rsid w:val="0059544C"/>
    <w:rsid w:val="005B570E"/>
    <w:rsid w:val="005E6934"/>
    <w:rsid w:val="005F0A06"/>
    <w:rsid w:val="005F7A25"/>
    <w:rsid w:val="00603868"/>
    <w:rsid w:val="00605E28"/>
    <w:rsid w:val="00620F17"/>
    <w:rsid w:val="00652D3F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1E6C"/>
    <w:rsid w:val="009B2E8B"/>
    <w:rsid w:val="009B6568"/>
    <w:rsid w:val="009E6108"/>
    <w:rsid w:val="00A26AF0"/>
    <w:rsid w:val="00A369B7"/>
    <w:rsid w:val="00A71981"/>
    <w:rsid w:val="00A95DD2"/>
    <w:rsid w:val="00AA0A0E"/>
    <w:rsid w:val="00AE005D"/>
    <w:rsid w:val="00AF73B8"/>
    <w:rsid w:val="00B016DF"/>
    <w:rsid w:val="00B21158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607CD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24C8B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038EE"/>
    <w:rsid w:val="00E46682"/>
    <w:rsid w:val="00E86165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hy/acts/204205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43723" TargetMode="External"/><Relationship Id="rId17" Type="http://schemas.openxmlformats.org/officeDocument/2006/relationships/hyperlink" Target="https://www.arlis.am/hy/acts/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hy/acts/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hy/acts/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hy/acts/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132</cp:revision>
  <cp:lastPrinted>2024-08-29T11:32:00Z</cp:lastPrinted>
  <dcterms:created xsi:type="dcterms:W3CDTF">2024-05-29T12:42:00Z</dcterms:created>
  <dcterms:modified xsi:type="dcterms:W3CDTF">2025-06-12T06:45:00Z</dcterms:modified>
</cp:coreProperties>
</file>