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1B94B" w14:textId="77777777" w:rsidR="005F5A4F" w:rsidRDefault="005F5A4F" w:rsidP="0023369E">
      <w:pPr>
        <w:spacing w:after="0"/>
        <w:jc w:val="center"/>
        <w:rPr>
          <w:rFonts w:ascii="GHEA Grapalat" w:eastAsia="Calibri" w:hAnsi="GHEA Grapalat" w:cs="Sylfaen"/>
          <w:b/>
          <w:color w:val="000000"/>
          <w:sz w:val="24"/>
          <w:szCs w:val="24"/>
        </w:rPr>
      </w:pPr>
    </w:p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5D85C3" w14:textId="6668257D" w:rsidR="00C97522" w:rsidRDefault="005F5A4F" w:rsidP="00CA574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81E5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</w:t>
      </w:r>
      <w:r w:rsidR="00CA574F" w:rsidRPr="009B79D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իրավաբանական վարչության </w:t>
      </w:r>
      <w:r w:rsidR="00CA574F" w:rsidRPr="00216BF9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դիմումների և բողոքների քննության</w:t>
      </w:r>
      <w:r w:rsidR="00CA574F" w:rsidRPr="00216BF9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CA574F" w:rsidRPr="003C1A19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CA574F" w:rsidRPr="00C459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053FA" w:rsidRPr="00C4590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A71BBA" w:rsidRPr="00A71BBA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A71BBA" w:rsidRPr="00A71BBA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076E64" w:rsidRDefault="00DA4AAD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  <w:bookmarkStart w:id="0" w:name="_GoBack"/>
      <w:bookmarkEnd w:id="0"/>
    </w:p>
    <w:p w14:paraId="0DC9DD62" w14:textId="77777777" w:rsidR="00E277CA" w:rsidRPr="00076E64" w:rsidRDefault="00E277CA" w:rsidP="0023369E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717BA3F" w14:textId="77777777" w:rsidR="00CA574F" w:rsidRPr="00216BF9" w:rsidRDefault="00CA574F" w:rsidP="00CA574F">
      <w:pPr>
        <w:numPr>
          <w:ilvl w:val="0"/>
          <w:numId w:val="28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օրենքին և այլ իրավական ակտերին համապատասխան՝ </w:t>
      </w:r>
      <w:bookmarkStart w:id="1" w:name="_Hlk208997355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Նախարարի անունից որպես վերադաս վարչական մարմին վերադասության կարգով վարչական բողոքարկման վարույթներին</w:t>
      </w:r>
      <w:bookmarkEnd w:id="1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վերանայելով Նախարարության և նրան ենթակա պետական մարմինների կողմից կայացված վարչական ակտերի, գործողությունների անգործության իրավաչափության աշխատանքները</w:t>
      </w:r>
      <w:r w:rsidRPr="00216B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450F95A" w14:textId="77777777" w:rsidR="00CA574F" w:rsidRPr="00216BF9" w:rsidRDefault="00CA574F" w:rsidP="00CA574F">
      <w:pPr>
        <w:numPr>
          <w:ilvl w:val="0"/>
          <w:numId w:val="28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հարուցմանը՝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ստուգելու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կայացված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գործողությունների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անգործութ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յան իրավաչափության աշխատանքները</w:t>
      </w:r>
      <w:r w:rsidRPr="00216B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17AABD8" w14:textId="77777777" w:rsidR="00CA574F" w:rsidRPr="00216BF9" w:rsidRDefault="00CA574F" w:rsidP="00CA574F">
      <w:pPr>
        <w:numPr>
          <w:ilvl w:val="0"/>
          <w:numId w:val="28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2" w:name="_Hlk208997693"/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վնասի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հատուցման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պահանջի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դիմումներով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օրենսդրությանը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հարուցման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 իրականացման աշխատանքներ</w:t>
      </w:r>
      <w:bookmarkEnd w:id="2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ը.</w:t>
      </w:r>
    </w:p>
    <w:p w14:paraId="5A1F2F25" w14:textId="77777777" w:rsidR="00CA574F" w:rsidRPr="00216BF9" w:rsidRDefault="00CA574F" w:rsidP="00CA574F">
      <w:pPr>
        <w:numPr>
          <w:ilvl w:val="0"/>
          <w:numId w:val="28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մասնակցում է իր իրավասության սահմաններում Նախարարության և նրան ենթակա պետական մարմինների շահերի ներկայացմանը պետական կառավարման և տեղական ինքնակառավարման մարմիններում.</w:t>
      </w:r>
    </w:p>
    <w:p w14:paraId="796088B0" w14:textId="77777777" w:rsidR="00CA574F" w:rsidRPr="00216BF9" w:rsidRDefault="00CA574F" w:rsidP="00CA574F">
      <w:pPr>
        <w:numPr>
          <w:ilvl w:val="0"/>
          <w:numId w:val="28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մասնակցում է իր իրավասության սահմաններում քաղաքացիների դիմումների, բողոքների և առաջարկությունների քննարկումը։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1B9824E1" w14:textId="77777777" w:rsidR="00076E64" w:rsidRPr="004A6E38" w:rsidRDefault="00076E64" w:rsidP="00076E64">
      <w:pPr>
        <w:pStyle w:val="a7"/>
        <w:spacing w:after="0"/>
        <w:ind w:left="189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4E5FC84C" w14:textId="50C37A6D" w:rsidR="00D87254" w:rsidRPr="00D87254" w:rsidRDefault="00B855DF" w:rsidP="00D87254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E277CA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CA574F">
        <w:rPr>
          <w:rFonts w:ascii="GHEA Grapalat" w:hAnsi="GHEA Grapalat" w:cs="Sylfaen"/>
          <w:b/>
          <w:lang w:val="hy-AM"/>
        </w:rPr>
        <w:t>1</w:t>
      </w:r>
      <w:r w:rsidR="00CA574F" w:rsidRPr="008661FD">
        <w:rPr>
          <w:rFonts w:ascii="GHEA Grapalat" w:hAnsi="GHEA Grapalat" w:cs="Sylfaen"/>
          <w:b/>
          <w:lang w:val="hy-AM"/>
        </w:rPr>
        <w:t xml:space="preserve"> </w:t>
      </w:r>
      <w:r w:rsidR="00CA574F" w:rsidRPr="008661FD">
        <w:rPr>
          <w:rFonts w:ascii="GHEA Grapalat" w:hAnsi="GHEA Grapalat"/>
          <w:b/>
          <w:lang w:val="hy-AM"/>
        </w:rPr>
        <w:t>(</w:t>
      </w:r>
      <w:r w:rsidR="00CA574F">
        <w:rPr>
          <w:rFonts w:ascii="GHEA Grapalat" w:hAnsi="GHEA Grapalat" w:cs="Sylfaen"/>
          <w:b/>
          <w:lang w:val="hy-AM"/>
        </w:rPr>
        <w:t>մեկ</w:t>
      </w:r>
      <w:r w:rsidR="00CA574F" w:rsidRPr="008661FD">
        <w:rPr>
          <w:rFonts w:ascii="GHEA Grapalat" w:hAnsi="GHEA Grapalat"/>
          <w:b/>
          <w:lang w:val="hy-AM"/>
        </w:rPr>
        <w:t>)</w:t>
      </w:r>
      <w:r w:rsidR="00CA574F" w:rsidRPr="008661FD">
        <w:rPr>
          <w:rFonts w:ascii="GHEA Grapalat" w:hAnsi="GHEA Grapalat" w:cs="Sylfaen"/>
          <w:b/>
          <w:lang w:val="hy-AM"/>
        </w:rPr>
        <w:t xml:space="preserve"> </w:t>
      </w:r>
      <w:r w:rsidR="00CA574F">
        <w:rPr>
          <w:rFonts w:ascii="GHEA Grapalat" w:hAnsi="GHEA Grapalat" w:cs="Sylfaen"/>
          <w:b/>
          <w:lang w:val="hy-AM"/>
        </w:rPr>
        <w:t>տարի</w:t>
      </w:r>
      <w:r w:rsidRPr="0023369E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3F1664AC" w14:textId="5FFE7C84" w:rsidR="009A0A50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80AD4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Pr="00480AD4">
        <w:rPr>
          <w:rFonts w:ascii="Cambria Math" w:eastAsia="Calibri" w:hAnsi="Cambria Math" w:cs="Times New Roman"/>
          <w:b/>
          <w:sz w:val="24"/>
          <w:szCs w:val="24"/>
          <w:lang w:val="hy-AM"/>
        </w:rPr>
        <w:t>․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E277CA">
        <w:rPr>
          <w:rFonts w:ascii="GHEA Grapalat" w:eastAsia="Calibri" w:hAnsi="GHEA Grapalat" w:cs="Times New Roman"/>
          <w:b/>
          <w:sz w:val="24"/>
          <w:szCs w:val="24"/>
          <w:lang w:val="hy-AM"/>
        </w:rPr>
        <w:t>Փորձագետի աշխատավարձը կազմում է՝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A574F" w:rsidRPr="00961958">
        <w:rPr>
          <w:rFonts w:ascii="GHEA Grapalat" w:eastAsia="Calibri" w:hAnsi="GHEA Grapalat" w:cs="Times New Roman"/>
          <w:sz w:val="24"/>
          <w:szCs w:val="24"/>
          <w:lang w:val="hy-AM"/>
        </w:rPr>
        <w:t>221312</w:t>
      </w:r>
      <w:r w:rsidR="00CA574F" w:rsidRPr="00961958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CA574F" w:rsidRPr="00961958">
        <w:rPr>
          <w:rFonts w:ascii="GHEA Grapalat" w:eastAsia="Calibri" w:hAnsi="GHEA Grapalat" w:cs="Times New Roman"/>
          <w:sz w:val="24"/>
          <w:szCs w:val="24"/>
          <w:lang w:val="hy-AM"/>
        </w:rPr>
        <w:t>(երկու հարյուր քսանմեկ հազար երեք հարյուր տասներկու) ՀՀ դրամ (ներառյալ հարկերը)</w:t>
      </w:r>
      <w:r w:rsidR="009A0A50" w:rsidRPr="00E277CA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5DAF03D4" w14:textId="77777777" w:rsidR="009A0A50" w:rsidRPr="0023369E" w:rsidRDefault="009A0A50" w:rsidP="00CA574F">
      <w:pPr>
        <w:tabs>
          <w:tab w:val="left" w:pos="1276"/>
        </w:tabs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711A284B" w:rsidR="00A972BA" w:rsidRPr="0023369E" w:rsidRDefault="00480AD4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5C4DB2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5C4DB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58CDD46E" w14:textId="77777777" w:rsidR="00CA574F" w:rsidRPr="001242A3" w:rsidRDefault="00130A47" w:rsidP="00CA574F">
      <w:pPr>
        <w:numPr>
          <w:ilvl w:val="0"/>
          <w:numId w:val="2"/>
        </w:numPr>
        <w:tabs>
          <w:tab w:val="left" w:pos="567"/>
          <w:tab w:val="left" w:pos="709"/>
        </w:tabs>
        <w:spacing w:after="0" w:line="240" w:lineRule="auto"/>
        <w:ind w:left="426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A574F" w:rsidRPr="001242A3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6B5B5DB2" w14:textId="77777777" w:rsidR="00CA574F" w:rsidRPr="001242A3" w:rsidRDefault="00CA574F" w:rsidP="00CA574F">
      <w:pPr>
        <w:tabs>
          <w:tab w:val="left" w:pos="567"/>
          <w:tab w:val="left" w:pos="709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1725" w:type="dxa"/>
        <w:shd w:val="clear" w:color="auto" w:fill="F7F8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5389"/>
      </w:tblGrid>
      <w:tr w:rsidR="00CA574F" w:rsidRPr="002E198E" w14:paraId="57094B73" w14:textId="77777777" w:rsidTr="00EF53B8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2B266F6D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Ուղղություն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7C8D6284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Գործարարություն</w:t>
            </w:r>
            <w:proofErr w:type="spellEnd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վարչարարություն</w:t>
            </w:r>
            <w:proofErr w:type="spellEnd"/>
            <w:r w:rsidRPr="002E198E">
              <w:rPr>
                <w:rFonts w:ascii="Courier New" w:eastAsia="Times New Roman" w:hAnsi="Courier New" w:cs="Courier New"/>
                <w:color w:val="212529"/>
                <w:sz w:val="24"/>
                <w:szCs w:val="24"/>
              </w:rPr>
              <w:t> </w:t>
            </w:r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և</w:t>
            </w:r>
            <w:r w:rsidRPr="002E198E">
              <w:rPr>
                <w:rFonts w:ascii="Courier New" w:eastAsia="Times New Roman" w:hAnsi="Courier New" w:cs="Courier New"/>
                <w:color w:val="212529"/>
                <w:sz w:val="24"/>
                <w:szCs w:val="24"/>
              </w:rPr>
              <w:t> </w:t>
            </w:r>
            <w:proofErr w:type="spellStart"/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CA574F" w:rsidRPr="002E198E" w14:paraId="3DB078F2" w14:textId="77777777" w:rsidTr="00EF53B8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1AA07164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ոլորտ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182AD169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CA574F" w:rsidRPr="002E198E" w14:paraId="7CB6AF59" w14:textId="77777777" w:rsidTr="00EF53B8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361CA08D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Ենթաոլորտ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03480363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CA574F" w:rsidRPr="002E198E" w14:paraId="301328D1" w14:textId="77777777" w:rsidTr="00EF53B8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0771E6FE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0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Մասնագիտություն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37B759D8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100" w:afterAutospacing="1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042101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00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6 </w:t>
            </w:r>
            <w:proofErr w:type="spellStart"/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կամ</w:t>
            </w:r>
            <w:proofErr w:type="spellEnd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 042101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00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7</w:t>
            </w:r>
          </w:p>
          <w:p w14:paraId="0FFE7675" w14:textId="77777777" w:rsidR="00CA574F" w:rsidRPr="002E198E" w:rsidRDefault="00CA574F" w:rsidP="00CA574F">
            <w:pPr>
              <w:tabs>
                <w:tab w:val="left" w:pos="709"/>
                <w:tab w:val="left" w:pos="993"/>
                <w:tab w:val="left" w:pos="1134"/>
                <w:tab w:val="left" w:pos="1701"/>
              </w:tabs>
              <w:spacing w:after="100" w:afterAutospacing="1" w:line="240" w:lineRule="auto"/>
              <w:ind w:left="426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lastRenderedPageBreak/>
              <w:t>Իրավագիտություն</w:t>
            </w:r>
            <w:proofErr w:type="spellEnd"/>
          </w:p>
        </w:tc>
      </w:tr>
    </w:tbl>
    <w:p w14:paraId="6A11AA3F" w14:textId="77777777" w:rsidR="00CA574F" w:rsidRDefault="00CA574F" w:rsidP="00CA574F">
      <w:pPr>
        <w:tabs>
          <w:tab w:val="left" w:pos="567"/>
          <w:tab w:val="left" w:pos="709"/>
          <w:tab w:val="left" w:pos="993"/>
          <w:tab w:val="left" w:pos="1134"/>
          <w:tab w:val="left" w:pos="1701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42BD284D" w14:textId="77777777" w:rsidR="00CA574F" w:rsidRDefault="00CA574F" w:rsidP="00CA574F">
      <w:pPr>
        <w:numPr>
          <w:ilvl w:val="0"/>
          <w:numId w:val="2"/>
        </w:numPr>
        <w:tabs>
          <w:tab w:val="left" w:pos="567"/>
          <w:tab w:val="left" w:pos="709"/>
          <w:tab w:val="left" w:pos="993"/>
          <w:tab w:val="left" w:pos="1134"/>
          <w:tab w:val="left" w:pos="1701"/>
        </w:tabs>
        <w:spacing w:after="0"/>
        <w:ind w:left="426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BFDDA6" w14:textId="77777777" w:rsidR="00CA574F" w:rsidRDefault="00CA574F" w:rsidP="00CA574F">
      <w:pPr>
        <w:numPr>
          <w:ilvl w:val="0"/>
          <w:numId w:val="2"/>
        </w:numPr>
        <w:tabs>
          <w:tab w:val="left" w:pos="567"/>
          <w:tab w:val="left" w:pos="709"/>
        </w:tabs>
        <w:spacing w:after="0"/>
        <w:ind w:left="426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համապատասխան ոլորտի իրավական ակտերի իմացություն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4A714AD" w14:textId="77777777" w:rsidR="00CA574F" w:rsidRDefault="00CA574F" w:rsidP="00CA574F">
      <w:pPr>
        <w:numPr>
          <w:ilvl w:val="0"/>
          <w:numId w:val="2"/>
        </w:numPr>
        <w:tabs>
          <w:tab w:val="left" w:pos="567"/>
          <w:tab w:val="left" w:pos="709"/>
        </w:tabs>
        <w:spacing w:after="0"/>
        <w:ind w:left="426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համակարգչով</w:t>
      </w:r>
      <w:r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E526CEF" w14:textId="031BB3D0" w:rsidR="00BD5159" w:rsidRPr="00076E64" w:rsidRDefault="00BD5159" w:rsidP="00CA574F">
      <w:pPr>
        <w:tabs>
          <w:tab w:val="left" w:pos="567"/>
          <w:tab w:val="left" w:pos="1134"/>
        </w:tabs>
        <w:spacing w:after="0"/>
        <w:ind w:left="87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7B29D068" w14:textId="77777777" w:rsidR="00BD5159" w:rsidRPr="00076E64" w:rsidRDefault="00BD5159" w:rsidP="00E277CA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35EB3D6D" w:rsidR="00A972BA" w:rsidRPr="00480AD4" w:rsidRDefault="00480AD4" w:rsidP="0023369E">
      <w:pPr>
        <w:spacing w:after="0"/>
        <w:ind w:left="-180" w:hanging="36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130A47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5 </w:t>
      </w:r>
      <w:r w:rsidR="00734F4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1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նոյեմբերի</w:t>
      </w:r>
      <w:r w:rsidR="00E94F6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A574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CA574F" w:rsidRPr="006F270B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24CDB21D" w14:textId="4C3C41AC" w:rsidR="00480AD4" w:rsidRPr="00C45909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Աշխատավայրը`</w:t>
      </w:r>
      <w:r w:rsidR="004021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80AD4" w:rsidRPr="00480AD4">
        <w:rPr>
          <w:rFonts w:ascii="GHEA Grapalat" w:hAnsi="GHEA Grapalat"/>
          <w:color w:val="000000"/>
          <w:sz w:val="24"/>
          <w:szCs w:val="24"/>
          <w:lang w:val="hy-AM"/>
        </w:rPr>
        <w:t xml:space="preserve">ՀՀ 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>ք</w:t>
      </w:r>
      <w:r w:rsidR="00072E13" w:rsidRPr="00072E1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072E13" w:rsidRPr="00072E13">
        <w:rPr>
          <w:rFonts w:ascii="GHEA Grapalat" w:hAnsi="GHEA Grapalat"/>
          <w:color w:val="000000"/>
          <w:sz w:val="24"/>
          <w:szCs w:val="24"/>
          <w:lang w:val="hy-AM"/>
        </w:rPr>
        <w:t xml:space="preserve"> Երևան, Նալբանդյան 130</w:t>
      </w:r>
    </w:p>
    <w:p w14:paraId="3EB04C9C" w14:textId="77777777" w:rsidR="00072E13" w:rsidRPr="00C45909" w:rsidRDefault="00072E13" w:rsidP="0023369E">
      <w:pPr>
        <w:spacing w:after="0" w:line="240" w:lineRule="auto"/>
        <w:ind w:right="9" w:hanging="720"/>
        <w:jc w:val="both"/>
        <w:rPr>
          <w:b/>
          <w:color w:val="000000"/>
          <w:sz w:val="27"/>
          <w:szCs w:val="27"/>
          <w:lang w:val="hy-AM"/>
        </w:rPr>
      </w:pPr>
    </w:p>
    <w:p w14:paraId="6EEE251C" w14:textId="4EAB9D78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 w:rsidRPr="0023369E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26143D4A" w:rsidR="00710EB2" w:rsidRPr="0023369E" w:rsidRDefault="00A972BA" w:rsidP="0023369E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CB48267" w14:textId="6DB97224" w:rsidR="005455F0" w:rsidRPr="00C45909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14:paraId="698B2221" w14:textId="0611EA5D" w:rsidR="005C19E4" w:rsidRPr="0023369E" w:rsidRDefault="00F1384E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5576D8C8" w:rsidR="00BB32BF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hyperlink r:id="rId7" w:history="1">
        <w:r w:rsidRPr="0023369E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7FD6728" w:rsidR="00A972BA" w:rsidRPr="0023369E" w:rsidRDefault="00F601DC" w:rsidP="0023369E">
      <w:pPr>
        <w:pStyle w:val="a3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lastRenderedPageBreak/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C7593B2" w:rsidR="006C3C62" w:rsidRPr="0023369E" w:rsidRDefault="00A972BA" w:rsidP="0023369E">
      <w:pPr>
        <w:pStyle w:val="a3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480AD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23369E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7B618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7B6181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="006C3C62" w:rsidRPr="0023369E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23369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a3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D31099">
      <w:pgSz w:w="12240" w:h="15840"/>
      <w:pgMar w:top="142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73507F8"/>
    <w:multiLevelType w:val="multilevel"/>
    <w:tmpl w:val="E41C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2"/>
  </w:num>
  <w:num w:numId="7">
    <w:abstractNumId w:val="23"/>
  </w:num>
  <w:num w:numId="8">
    <w:abstractNumId w:val="14"/>
  </w:num>
  <w:num w:numId="9">
    <w:abstractNumId w:val="18"/>
  </w:num>
  <w:num w:numId="10">
    <w:abstractNumId w:val="13"/>
  </w:num>
  <w:num w:numId="11">
    <w:abstractNumId w:val="6"/>
  </w:num>
  <w:num w:numId="12">
    <w:abstractNumId w:val="20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26"/>
  </w:num>
  <w:num w:numId="18">
    <w:abstractNumId w:val="12"/>
  </w:num>
  <w:num w:numId="19">
    <w:abstractNumId w:val="21"/>
  </w:num>
  <w:num w:numId="20">
    <w:abstractNumId w:val="24"/>
  </w:num>
  <w:num w:numId="21">
    <w:abstractNumId w:val="9"/>
  </w:num>
  <w:num w:numId="22">
    <w:abstractNumId w:val="8"/>
  </w:num>
  <w:num w:numId="23">
    <w:abstractNumId w:val="15"/>
  </w:num>
  <w:num w:numId="24">
    <w:abstractNumId w:val="2"/>
  </w:num>
  <w:num w:numId="25">
    <w:abstractNumId w:val="17"/>
  </w:num>
  <w:num w:numId="26">
    <w:abstractNumId w:val="1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2E13"/>
    <w:rsid w:val="00073E37"/>
    <w:rsid w:val="00076E64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125C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85D72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734FF"/>
    <w:rsid w:val="00480AD4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455F0"/>
    <w:rsid w:val="00555CC1"/>
    <w:rsid w:val="00580E3A"/>
    <w:rsid w:val="005A07CD"/>
    <w:rsid w:val="005A31DE"/>
    <w:rsid w:val="005A7706"/>
    <w:rsid w:val="005B316E"/>
    <w:rsid w:val="005B777D"/>
    <w:rsid w:val="005B790E"/>
    <w:rsid w:val="005C19E4"/>
    <w:rsid w:val="005C3BF5"/>
    <w:rsid w:val="005C4DB2"/>
    <w:rsid w:val="005C4FBB"/>
    <w:rsid w:val="005E6E54"/>
    <w:rsid w:val="005F5A4F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6F270B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B6181"/>
    <w:rsid w:val="007D2EC2"/>
    <w:rsid w:val="007F1452"/>
    <w:rsid w:val="007F1E4D"/>
    <w:rsid w:val="00800878"/>
    <w:rsid w:val="008053FA"/>
    <w:rsid w:val="0082025B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71BBA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D5159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4060D"/>
    <w:rsid w:val="00C45909"/>
    <w:rsid w:val="00C53E38"/>
    <w:rsid w:val="00C631D2"/>
    <w:rsid w:val="00C97522"/>
    <w:rsid w:val="00CA574F"/>
    <w:rsid w:val="00CB199A"/>
    <w:rsid w:val="00CB4FDB"/>
    <w:rsid w:val="00CC2C52"/>
    <w:rsid w:val="00D057DA"/>
    <w:rsid w:val="00D143B3"/>
    <w:rsid w:val="00D3093A"/>
    <w:rsid w:val="00D31099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37B4"/>
    <w:rsid w:val="00DD4561"/>
    <w:rsid w:val="00DF0B07"/>
    <w:rsid w:val="00DF755A"/>
    <w:rsid w:val="00E067EA"/>
    <w:rsid w:val="00E12F99"/>
    <w:rsid w:val="00E14C34"/>
    <w:rsid w:val="00E16D2A"/>
    <w:rsid w:val="00E24949"/>
    <w:rsid w:val="00E277CA"/>
    <w:rsid w:val="00E32794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02F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B6F26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neconomy.am/media/21755/hayt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03D2-B784-4815-903F-D5726BC7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2025-11-14T05:16:00Z</dcterms:created>
  <dcterms:modified xsi:type="dcterms:W3CDTF">2025-11-14T05:19:00Z</dcterms:modified>
</cp:coreProperties>
</file>