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6FB1F42D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bookmarkStart w:id="0" w:name="_GoBack"/>
      <w:bookmarkEnd w:id="0"/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1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E8F0D5C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666C4E" w:rsidRPr="006A042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21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06EEF2FE" w:rsidR="00600F94" w:rsidRDefault="00AB28D2" w:rsidP="006A042D">
      <w:pPr>
        <w:ind w:left="-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00F94" w:rsidRPr="00127BB9">
        <w:rPr>
          <w:rFonts w:ascii="GHEA Grapalat" w:eastAsia="Calibri" w:hAnsi="GHEA Grapalat" w:cs="Times New Roman"/>
          <w:sz w:val="24"/>
          <w:szCs w:val="24"/>
          <w:lang w:val="hy-AM"/>
        </w:rPr>
        <w:t>Թալինի բաժին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600F94"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600F94"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</w:t>
      </w:r>
      <w:r w:rsidR="00600F94"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00F94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="00600F94" w:rsidRPr="00127BB9">
        <w:rPr>
          <w:rFonts w:ascii="GHEA Grapalat" w:eastAsia="Calibri" w:hAnsi="GHEA Grapalat" w:cs="Times New Roman"/>
          <w:sz w:val="24"/>
          <w:szCs w:val="24"/>
          <w:lang w:val="hy-AM"/>
        </w:rPr>
        <w:t>Թալին, Մ</w:t>
      </w:r>
      <w:r w:rsidR="00600F94" w:rsidRPr="00127BB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600F94" w:rsidRPr="00127BB9">
        <w:rPr>
          <w:rFonts w:ascii="GHEA Grapalat" w:eastAsia="Calibri" w:hAnsi="GHEA Grapalat" w:cs="Times New Roman"/>
          <w:sz w:val="24"/>
          <w:szCs w:val="24"/>
          <w:lang w:val="hy-AM"/>
        </w:rPr>
        <w:t>Գորկու փ</w:t>
      </w:r>
      <w:r w:rsidR="00600F94" w:rsidRPr="00127BB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2023-12-22T11:31:00Z</cp:lastPrinted>
  <dcterms:created xsi:type="dcterms:W3CDTF">2025-11-11T06:36:00Z</dcterms:created>
  <dcterms:modified xsi:type="dcterms:W3CDTF">2025-11-18T05:05:00Z</dcterms:modified>
</cp:coreProperties>
</file>