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6F555B7B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27-3-22.4-Մ4-</w:t>
      </w:r>
      <w:r w:rsidR="00B73290">
        <w:rPr>
          <w:rFonts w:ascii="GHEA Grapalat" w:hAnsi="GHEA Grapalat" w:cs="Sylfaen"/>
          <w:b/>
          <w:lang w:val="hy-AM"/>
        </w:rPr>
        <w:t>3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992FBAE" w14:textId="269F7AC3" w:rsidR="001C5343" w:rsidRPr="00EE2AB2" w:rsidRDefault="001C5343" w:rsidP="00EE2AB2">
      <w:pPr>
        <w:pStyle w:val="Default"/>
        <w:rPr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ՀՀ, </w:t>
      </w:r>
      <w:r w:rsidR="00EE2AB2" w:rsidRPr="00EE2AB2">
        <w:rPr>
          <w:rFonts w:ascii="GHEA Grapalat" w:hAnsi="GHEA Grapalat"/>
          <w:lang w:val="hy-AM"/>
        </w:rPr>
        <w:t xml:space="preserve">ք. </w:t>
      </w:r>
      <w:proofErr w:type="spellStart"/>
      <w:r w:rsidR="00EE2AB2" w:rsidRPr="00EE2AB2">
        <w:rPr>
          <w:rFonts w:ascii="GHEA Grapalat" w:hAnsi="GHEA Grapalat"/>
          <w:lang w:val="hy-AM"/>
        </w:rPr>
        <w:t>Երևան</w:t>
      </w:r>
      <w:proofErr w:type="spellEnd"/>
      <w:r w:rsidR="00EE2AB2" w:rsidRPr="00EE2AB2">
        <w:rPr>
          <w:rFonts w:ascii="GHEA Grapalat" w:hAnsi="GHEA Grapalat"/>
          <w:lang w:val="hy-AM"/>
        </w:rPr>
        <w:t>, Դավթաշեն վարչական շրջան, Դավթաշեն 4-րդթաղ., 17/10 շենք</w:t>
      </w:r>
      <w:r w:rsidR="00EE2AB2" w:rsidRPr="00EE2AB2">
        <w:rPr>
          <w:sz w:val="23"/>
          <w:szCs w:val="23"/>
          <w:lang w:val="hy-AM"/>
        </w:rPr>
        <w:t>։</w:t>
      </w:r>
    </w:p>
    <w:p w14:paraId="37854255" w14:textId="28CBB2B1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1BFAF0B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B73290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C26803D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B73290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3DEE299" w:rsidR="008873BC" w:rsidRPr="001C694A" w:rsidRDefault="00EE2AB2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B73290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44AC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672C59DE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վերջնաժամկետն</w:t>
      </w:r>
      <w:proofErr w:type="spellEnd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փետրվա</w:t>
      </w:r>
      <w:r w:rsid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ր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0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0CB5540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761AB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73290">
        <w:rPr>
          <w:rFonts w:ascii="GHEA Grapalat" w:hAnsi="GHEA Grapalat"/>
          <w:sz w:val="24"/>
          <w:szCs w:val="24"/>
          <w:lang w:val="hy-AM"/>
        </w:rPr>
        <w:t>0</w:t>
      </w:r>
      <w:r w:rsidR="007761AB"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B73290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A09">
        <w:rPr>
          <w:rFonts w:ascii="GHEA Grapalat" w:hAnsi="GHEA Grapalat"/>
          <w:sz w:val="24"/>
          <w:szCs w:val="24"/>
          <w:lang w:val="hy-AM"/>
        </w:rPr>
        <w:t>3</w:t>
      </w:r>
      <w:r w:rsidR="00144EAF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590058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761AB">
        <w:rPr>
          <w:rFonts w:ascii="GHEA Grapalat" w:hAnsi="GHEA Grapalat"/>
          <w:sz w:val="24"/>
          <w:szCs w:val="24"/>
          <w:lang w:val="hy-AM"/>
        </w:rPr>
        <w:t>մարտ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="007761AB">
        <w:rPr>
          <w:rFonts w:ascii="GHEA Grapalat" w:hAnsi="GHEA Grapalat" w:cs="Helvetica"/>
          <w:sz w:val="24"/>
          <w:szCs w:val="24"/>
          <w:lang w:val="hy-AM"/>
        </w:rPr>
        <w:t>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083A09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57950CC5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Օտարերկրացիների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ասին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Հայաստանի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F94E4F" w:rsidRPr="00F94E4F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Հանրապետության</w:t>
      </w:r>
      <w:r w:rsidR="00F94E4F" w:rsidRPr="00F94E4F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379DE140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F94E4F" w:rsidRPr="00F94E4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3, 7, 8, 30, 31, 32, 34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18E32AD2" w14:textId="6D442ECC" w:rsidR="00F94E4F" w:rsidRDefault="008C3A33" w:rsidP="00F94E4F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hyperlink r:id="rId12" w:history="1">
        <w:r w:rsidR="00F94E4F" w:rsidRPr="00ED1F57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https://www.arlis.am/hy/acts/183150</w:t>
        </w:r>
      </w:hyperlink>
    </w:p>
    <w:p w14:paraId="0542304E" w14:textId="529BD20B" w:rsidR="008C3A33" w:rsidRDefault="00F94E4F" w:rsidP="00F94E4F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94E4F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   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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 w:rsidR="008C3A33"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94E4F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F94E4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0AD98952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Հայաստանի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Հանրապետության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Ընտրական</w:t>
      </w:r>
      <w:r w:rsidR="002D24E2" w:rsidRPr="002D24E2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</w:t>
      </w:r>
      <w:r w:rsidR="002D24E2" w:rsidRPr="002D24E2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րենսգիրք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11F40528" w14:textId="199B040F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6431">
        <w:rPr>
          <w:rFonts w:ascii="GHEA Grapalat" w:hAnsi="GHEA Grapalat" w:cs="Helvetica"/>
          <w:sz w:val="24"/>
          <w:szCs w:val="24"/>
          <w:lang w:val="hy-AM"/>
        </w:rPr>
        <w:t>2,</w:t>
      </w:r>
      <w:r w:rsidR="00745E4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D24E2" w:rsidRPr="002D24E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9-11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203ACE20" w:rsidR="006F52F1" w:rsidRP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="002D24E2" w:rsidRPr="002D24E2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https://www.arlis.am/hy/acts/201330/latest</w:t>
      </w:r>
    </w:p>
    <w:p w14:paraId="232B0247" w14:textId="614A92E7" w:rsidR="00DB5819" w:rsidRPr="00985503" w:rsidRDefault="00745E40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745E40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8870F80" w:rsidR="00DB5819" w:rsidRPr="00985503" w:rsidRDefault="00745E40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1E98E0BD" w:rsidR="00DB5819" w:rsidRPr="00985503" w:rsidRDefault="00745E40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7EB3FEFC" w:rsidR="00AE7C34" w:rsidRPr="00AE7C34" w:rsidRDefault="00745E4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«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Հանրային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ծառայության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մասին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» 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օրենք</w:t>
        </w:r>
        <w:proofErr w:type="spellEnd"/>
      </w:hyperlink>
    </w:p>
    <w:p w14:paraId="3319A254" w14:textId="49ECE6FE" w:rsidR="00AE7C3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proofErr w:type="spellStart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Հղում</w:t>
      </w:r>
      <w:proofErr w:type="spellEnd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՝ </w:t>
      </w:r>
      <w:hyperlink r:id="rId25" w:history="1">
        <w:r w:rsidR="00AE7C34"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0A83E5E8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C7C1FC8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000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C5343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4A35"/>
    <w:rsid w:val="002B0F30"/>
    <w:rsid w:val="002C0D14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431"/>
    <w:rsid w:val="0065680F"/>
    <w:rsid w:val="00661233"/>
    <w:rsid w:val="0067146D"/>
    <w:rsid w:val="0067149D"/>
    <w:rsid w:val="0067430E"/>
    <w:rsid w:val="006770EB"/>
    <w:rsid w:val="00686F16"/>
    <w:rsid w:val="00694075"/>
    <w:rsid w:val="00694570"/>
    <w:rsid w:val="006E7C97"/>
    <w:rsid w:val="006F52F1"/>
    <w:rsid w:val="00707CAF"/>
    <w:rsid w:val="007101F0"/>
    <w:rsid w:val="00715A4B"/>
    <w:rsid w:val="00717E6D"/>
    <w:rsid w:val="007327FD"/>
    <w:rsid w:val="00745E40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384D"/>
    <w:rsid w:val="009E4FB2"/>
    <w:rsid w:val="00A056E5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31291"/>
    <w:rsid w:val="00C44B71"/>
    <w:rsid w:val="00C53E47"/>
    <w:rsid w:val="00C54EBF"/>
    <w:rsid w:val="00C72FEE"/>
    <w:rsid w:val="00C8163A"/>
    <w:rsid w:val="00C819E7"/>
    <w:rsid w:val="00C843F9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6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50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162</cp:revision>
  <cp:lastPrinted>2025-03-18T04:40:00Z</cp:lastPrinted>
  <dcterms:created xsi:type="dcterms:W3CDTF">2025-03-17T13:03:00Z</dcterms:created>
  <dcterms:modified xsi:type="dcterms:W3CDTF">2026-02-03T06:48:00Z</dcterms:modified>
</cp:coreProperties>
</file>