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7DB6E49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728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Pr="00E57728">
        <w:rPr>
          <w:rFonts w:ascii="GHEA Grapalat" w:hAnsi="GHEA Grapalat" w:cs="Sylfaen"/>
          <w:b/>
          <w:sz w:val="24"/>
          <w:szCs w:val="24"/>
          <w:lang w:val="hy-AM"/>
        </w:rPr>
        <w:t>թվով</w:t>
      </w:r>
      <w:r w:rsidR="00734F4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03C54">
        <w:rPr>
          <w:rFonts w:ascii="GHEA Grapalat" w:hAnsi="GHEA Grapalat" w:cs="Sylfaen"/>
          <w:b/>
          <w:sz w:val="24"/>
          <w:szCs w:val="24"/>
          <w:lang w:val="hy-AM"/>
        </w:rPr>
        <w:t>19</w:t>
      </w:r>
      <w:r w:rsidRPr="00E57728">
        <w:rPr>
          <w:rFonts w:ascii="GHEA Grapalat" w:hAnsi="GHEA Grapalat" w:cs="Sylfaen"/>
          <w:b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77777777" w:rsidR="00E8034F" w:rsidRDefault="00B855DF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0E3A">
        <w:rPr>
          <w:rFonts w:ascii="GHEA Grapalat" w:eastAsia="Calibri" w:hAnsi="GHEA Grapalat"/>
          <w:b/>
          <w:lang w:val="hy-AM" w:eastAsia="x-none"/>
        </w:rPr>
        <w:t>մեկ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580E3A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20D5D417" w:rsidR="00B36521" w:rsidRPr="00E8034F" w:rsidRDefault="007440D7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/>
          <w:lang w:val="hy-AM"/>
        </w:rPr>
        <w:t xml:space="preserve"> 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NormalWeb"/>
        <w:shd w:val="clear" w:color="auto" w:fill="FEFEFE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AC1EA60" w14:textId="1701A9A9" w:rsidR="005C4DB2" w:rsidRPr="00151C01" w:rsidRDefault="00773C34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73C34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5C4DB2" w:rsidRPr="00773C34">
        <w:rPr>
          <w:rFonts w:ascii="GHEA Grapalat" w:hAnsi="GHEA Grapalat"/>
          <w:sz w:val="24"/>
          <w:szCs w:val="24"/>
          <w:lang w:val="hy-AM"/>
        </w:rPr>
        <w:t>.</w:t>
      </w:r>
    </w:p>
    <w:p w14:paraId="6C492A8E" w14:textId="77777777" w:rsidR="005C4DB2" w:rsidRPr="00151C01" w:rsidRDefault="005C4DB2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151C0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F286F1" w14:textId="075197E6" w:rsidR="005C4DB2" w:rsidRPr="00151C01" w:rsidRDefault="00773C34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աշխատանքային ստաժ չի պահանջվում</w:t>
      </w:r>
      <w:r w:rsidR="005C4DB2"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</w:p>
    <w:p w14:paraId="6C2FA10B" w14:textId="4D78BA14" w:rsidR="005C4DB2" w:rsidRPr="00151C01" w:rsidRDefault="005C4DB2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120BA6C" w:rsidR="00A972BA" w:rsidRPr="00444C09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A6F26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</w:t>
      </w:r>
      <w:r w:rsidR="00193F8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րի</w:t>
      </w:r>
      <w:r w:rsidR="00E94F6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A6F26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C14A16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-ը</w:t>
      </w:r>
      <w:r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46DDAAE0" w14:textId="77777777" w:rsidR="00A326D1" w:rsidRPr="00C14A16" w:rsidRDefault="005C4DB2" w:rsidP="007A6C0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C14A16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77A430D9" w14:textId="5554103F" w:rsidR="00A326D1" w:rsidRPr="00AD389D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bookmarkStart w:id="0" w:name="_Hlk157432957"/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Երևան, </w:t>
      </w:r>
      <w:bookmarkEnd w:id="0"/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Ծովակալ Իսակով  9 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3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 </w:t>
      </w:r>
    </w:p>
    <w:p w14:paraId="338F8D5D" w14:textId="3FFFC3E4" w:rsidR="00A326D1" w:rsidRPr="00AD389D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Երևան,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Գաջեգործների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76 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18817A6B" w14:textId="0A6CDBCB" w:rsidR="00A326D1" w:rsidRPr="00AD389D" w:rsidRDefault="00A326D1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bookmarkStart w:id="1" w:name="_Hlk157433234"/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</w:t>
      </w:r>
      <w:r w:rsidR="00E067E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ք. Երևան</w:t>
      </w:r>
      <w:bookmarkEnd w:id="1"/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="00E067E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Թաիրով  14 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1640DA92" w14:textId="01C71AA5" w:rsidR="00A326D1" w:rsidRPr="00AD389D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Մամիկոնյան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ց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1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1BB5E2E6" w14:textId="04B3BD7A" w:rsidR="00A326D1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Խորենացու 162</w:t>
      </w:r>
      <w:r w:rsidR="0027503F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A6136E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7E78A7F1" w14:textId="2107229E" w:rsidR="00A6136E" w:rsidRPr="00AD389D" w:rsidRDefault="00A6136E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Երևան, Խորենացու 162  (</w:t>
      </w:r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25FE35C4" w14:textId="2F304781" w:rsidR="00A326D1" w:rsidRPr="00AD389D" w:rsidRDefault="00B127E3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Երևան,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</w:t>
      </w:r>
      <w:r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Սարգսյան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22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1259366E" w14:textId="7925454D" w:rsidR="00F73058" w:rsidRPr="00AD389D" w:rsidRDefault="00B127E3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Երևան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Նալբանդյան</w:t>
      </w:r>
      <w:r w:rsidR="00F73058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1</w:t>
      </w:r>
      <w:r w:rsidR="00F06C0D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30</w:t>
      </w:r>
      <w:r w:rsidR="001B2608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77BECC3B" w14:textId="23CF8E32" w:rsidR="00555CC1" w:rsidRPr="00AD389D" w:rsidRDefault="000462FC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</w:pPr>
      <w:bookmarkStart w:id="2" w:name="_Hlk157432810"/>
      <w:r w:rsidRPr="00AD389D">
        <w:rPr>
          <w:rFonts w:ascii="GHEA Grapalat" w:hAnsi="GHEA Grapalat" w:cs="Sylfaen"/>
          <w:b/>
          <w:bCs/>
          <w:lang w:val="hy-AM"/>
        </w:rPr>
        <w:t xml:space="preserve">ՀՀ </w:t>
      </w:r>
      <w:r w:rsidR="007A6C08" w:rsidRPr="00AD389D">
        <w:rPr>
          <w:rFonts w:ascii="GHEA Grapalat" w:hAnsi="GHEA Grapalat" w:cs="Sylfaen"/>
          <w:b/>
          <w:bCs/>
          <w:lang w:val="hy-AM"/>
        </w:rPr>
        <w:t>ք</w:t>
      </w:r>
      <w:r w:rsidR="007A6C08" w:rsidRPr="00AD389D">
        <w:rPr>
          <w:rFonts w:ascii="GHEA Grapalat" w:hAnsi="GHEA Grapalat"/>
          <w:b/>
          <w:bCs/>
          <w:lang w:val="hy-AM"/>
        </w:rPr>
        <w:t>. Երևան</w:t>
      </w:r>
      <w:bookmarkEnd w:id="2"/>
      <w:r w:rsidR="007A6C08" w:rsidRPr="00AD389D">
        <w:rPr>
          <w:rFonts w:ascii="GHEA Grapalat" w:hAnsi="GHEA Grapalat"/>
          <w:b/>
          <w:bCs/>
          <w:lang w:val="hy-AM"/>
        </w:rPr>
        <w:t xml:space="preserve">, </w:t>
      </w:r>
      <w:r w:rsidR="00B127E3" w:rsidRPr="00AD389D">
        <w:rPr>
          <w:rFonts w:ascii="GHEA Grapalat" w:hAnsi="GHEA Grapalat"/>
          <w:b/>
          <w:bCs/>
          <w:lang w:val="hy-AM"/>
        </w:rPr>
        <w:t>Շինարարների</w:t>
      </w:r>
      <w:r w:rsidR="007A6C08" w:rsidRPr="00AD389D">
        <w:rPr>
          <w:rFonts w:ascii="GHEA Grapalat" w:hAnsi="GHEA Grapalat"/>
          <w:b/>
          <w:bCs/>
          <w:lang w:val="hy-AM"/>
        </w:rPr>
        <w:t xml:space="preserve"> 10/</w:t>
      </w:r>
      <w:r w:rsidR="00B127E3" w:rsidRPr="00AD389D">
        <w:rPr>
          <w:rFonts w:ascii="GHEA Grapalat" w:hAnsi="GHEA Grapalat"/>
          <w:b/>
          <w:bCs/>
          <w:lang w:val="hy-AM"/>
        </w:rPr>
        <w:t>1</w:t>
      </w:r>
      <w:r w:rsidR="00A14BB0" w:rsidRPr="00AD389D">
        <w:rPr>
          <w:rFonts w:ascii="GHEA Grapalat" w:hAnsi="GHEA Grapalat"/>
          <w:b/>
          <w:bCs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B127E3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1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փորձագետ)</w:t>
      </w:r>
    </w:p>
    <w:p w14:paraId="6BAD9D8C" w14:textId="4AAFD75F" w:rsidR="00E12F99" w:rsidRPr="00AD389D" w:rsidRDefault="00A0320F" w:rsidP="00E12F99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bookmarkStart w:id="3" w:name="_Hlk221694160"/>
      <w:r w:rsidR="000462FC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0462FC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Երևան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bookmarkEnd w:id="3"/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Խորենաց</w:t>
      </w:r>
      <w:r w:rsidR="00B127E3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ու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158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(1 փորձագետ)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</w:p>
    <w:p w14:paraId="76B661D7" w14:textId="05A99484" w:rsidR="00E12F99" w:rsidRPr="00AD389D" w:rsidRDefault="00A0320F" w:rsidP="00E12F99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bookmarkStart w:id="4" w:name="_Hlk221694144"/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</w:t>
      </w:r>
      <w:r w:rsidR="00F06C0D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06C0D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Երևան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,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Արղության փ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C14A16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10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 (1 փորձագետ)</w:t>
      </w:r>
    </w:p>
    <w:bookmarkEnd w:id="4"/>
    <w:p w14:paraId="7BC04E04" w14:textId="65122F33" w:rsidR="00F06C0D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Արմավիր, Աշուղ Ջիվանի 3  (1 փորձագետ)</w:t>
      </w:r>
    </w:p>
    <w:p w14:paraId="0D98EFE5" w14:textId="5471DFA1" w:rsidR="00C14A16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349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3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Աշտարակ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="00683F82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Ներսես Աշտարակեցու 5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 (1 փորձագետ)</w:t>
      </w:r>
    </w:p>
    <w:p w14:paraId="7843D320" w14:textId="35D3AB8B" w:rsidR="00F97DBB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349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4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 </w:t>
      </w:r>
      <w:r w:rsidR="00F97DBB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="00F97DBB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Արտաշատ 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,</w:t>
      </w:r>
      <w:r w:rsidR="00E12F99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Շահումյան 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20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(1 փորձագետ)</w:t>
      </w:r>
    </w:p>
    <w:p w14:paraId="07A0A517" w14:textId="471CA796" w:rsidR="00F97DBB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349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5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 </w:t>
      </w:r>
      <w:r w:rsidR="00F97DBB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="00F97DBB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2F277E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Աբովյան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Զորավար Անդրանիկի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5 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6EEE251C" w14:textId="5F4A1BCA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491B64">
          <w:rPr>
            <w:rStyle w:val="Hyperlink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4A66D5" w:rsidR="00A972BA" w:rsidRPr="00E8034F" w:rsidRDefault="00A972BA" w:rsidP="00E8034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6" w:history="1">
        <w:r w:rsidR="00E8034F" w:rsidRPr="00E8034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7" w:history="1">
        <w:r w:rsidR="00C401AF" w:rsidRPr="00C401AF">
          <w:rPr>
            <w:rStyle w:val="Hyperlink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D057DA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67E9AF14-456D-4215-B0DF-F175EF65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135</cp:revision>
  <cp:lastPrinted>2023-12-22T11:31:00Z</cp:lastPrinted>
  <dcterms:created xsi:type="dcterms:W3CDTF">2023-11-15T05:33:00Z</dcterms:created>
  <dcterms:modified xsi:type="dcterms:W3CDTF">2026-02-12T10:23:00Z</dcterms:modified>
</cp:coreProperties>
</file>