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0CF07444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175DB1" w:rsidRPr="00175DB1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550D5F">
        <w:rPr>
          <w:rFonts w:ascii="GHEA Grapalat" w:hAnsi="GHEA Grapalat"/>
          <w:b/>
          <w:sz w:val="24"/>
          <w:szCs w:val="24"/>
          <w:lang w:val="hy-AM"/>
        </w:rPr>
        <w:t>Ար</w:t>
      </w:r>
      <w:r w:rsidR="00F753AD">
        <w:rPr>
          <w:rFonts w:ascii="GHEA Grapalat" w:hAnsi="GHEA Grapalat"/>
          <w:b/>
          <w:sz w:val="24"/>
          <w:szCs w:val="24"/>
          <w:lang w:val="hy-AM"/>
        </w:rPr>
        <w:t>ագածոտն</w:t>
      </w:r>
      <w:r w:rsidR="00550D5F">
        <w:rPr>
          <w:rFonts w:ascii="GHEA Grapalat" w:hAnsi="GHEA Grapalat"/>
          <w:b/>
          <w:sz w:val="24"/>
          <w:szCs w:val="24"/>
          <w:lang w:val="hy-AM"/>
        </w:rPr>
        <w:t>ի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 մարզի հաշվառման-քննական բաժնի գլխավոր մասնագետի (ծածկագիր՝ 27-33</w:t>
      </w:r>
      <w:r w:rsidR="00175DB1" w:rsidRPr="00175D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6-Մ2-</w:t>
      </w:r>
      <w:r w:rsidR="00F753AD">
        <w:rPr>
          <w:rFonts w:ascii="GHEA Grapalat" w:hAnsi="GHEA Grapalat"/>
          <w:b/>
          <w:sz w:val="24"/>
          <w:szCs w:val="24"/>
          <w:lang w:val="hy-AM"/>
        </w:rPr>
        <w:t>84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2493D92" w14:textId="7366C8B1" w:rsidR="00550D5F" w:rsidRDefault="004D63DA" w:rsidP="00F753AD">
      <w:pPr>
        <w:pStyle w:val="Default"/>
        <w:jc w:val="both"/>
        <w:rPr>
          <w:rFonts w:ascii="GHEA Grapalat" w:hAnsi="GHEA Grapalat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F753AD" w:rsidRPr="00F753AD">
        <w:rPr>
          <w:rFonts w:ascii="GHEA Grapalat" w:hAnsi="GHEA Grapalat"/>
          <w:lang w:val="hy-AM"/>
        </w:rPr>
        <w:t>Հայաստանի Հանրապետություն, Արագածոտնի մարզ, ք.Աշտարակ, Ն.Աշտարակեցու-3</w:t>
      </w:r>
    </w:p>
    <w:p w14:paraId="492E1746" w14:textId="77777777" w:rsidR="00F753AD" w:rsidRPr="00F753AD" w:rsidRDefault="00F753AD" w:rsidP="00F753AD">
      <w:pPr>
        <w:pStyle w:val="Default"/>
        <w:jc w:val="both"/>
        <w:rPr>
          <w:rFonts w:ascii="GHEA Grapalat" w:hAnsi="GHEA Grapalat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720D030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F753AD">
        <w:rPr>
          <w:rFonts w:ascii="GHEA Grapalat" w:hAnsi="GHEA Grapalat"/>
          <w:sz w:val="24"/>
          <w:szCs w:val="24"/>
          <w:lang w:val="hy-AM"/>
        </w:rPr>
        <w:t>Արագածոտնի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175DB1">
        <w:rPr>
          <w:rFonts w:ascii="GHEA Grapalat" w:hAnsi="GHEA Grapalat"/>
          <w:sz w:val="24"/>
          <w:szCs w:val="24"/>
          <w:lang w:val="hy-AM"/>
        </w:rPr>
        <w:t>գ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175DB1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175DB1">
        <w:rPr>
          <w:rFonts w:ascii="Cambria Math" w:hAnsi="Cambria Math"/>
          <w:sz w:val="24"/>
          <w:szCs w:val="24"/>
          <w:lang w:val="hy-AM"/>
        </w:rPr>
        <w:t>․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F753AD">
        <w:rPr>
          <w:rFonts w:ascii="GHEA Grapalat" w:hAnsi="GHEA Grapalat"/>
          <w:sz w:val="24"/>
          <w:szCs w:val="24"/>
          <w:lang w:val="hy-AM"/>
        </w:rPr>
        <w:t>84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121F1C44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F753AD">
        <w:rPr>
          <w:rFonts w:ascii="GHEA Grapalat" w:hAnsi="GHEA Grapalat"/>
          <w:sz w:val="24"/>
          <w:szCs w:val="24"/>
          <w:lang w:val="hy-AM"/>
        </w:rPr>
        <w:t>Արագածոտնի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F753AD">
        <w:rPr>
          <w:rFonts w:ascii="GHEA Grapalat" w:hAnsi="GHEA Grapalat"/>
          <w:sz w:val="24"/>
          <w:szCs w:val="24"/>
          <w:lang w:val="hy-AM"/>
        </w:rPr>
        <w:t>գ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F753AD">
        <w:rPr>
          <w:rFonts w:ascii="GHEA Grapalat" w:hAnsi="GHEA Grapalat"/>
          <w:sz w:val="24"/>
          <w:szCs w:val="24"/>
          <w:lang w:val="hy-AM"/>
        </w:rPr>
        <w:t>ի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F753AD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F753AD">
        <w:rPr>
          <w:rFonts w:ascii="Cambria Math" w:hAnsi="Cambria Math"/>
          <w:sz w:val="24"/>
          <w:szCs w:val="24"/>
          <w:lang w:val="hy-AM"/>
        </w:rPr>
        <w:t>․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F753AD">
        <w:rPr>
          <w:rFonts w:ascii="GHEA Grapalat" w:hAnsi="GHEA Grapalat"/>
          <w:sz w:val="24"/>
          <w:szCs w:val="24"/>
          <w:lang w:val="hy-AM"/>
        </w:rPr>
        <w:t>84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)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6F8ED849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F753AD">
        <w:rPr>
          <w:rFonts w:ascii="GHEA Grapalat" w:hAnsi="GHEA Grapalat"/>
          <w:sz w:val="24"/>
          <w:szCs w:val="24"/>
          <w:lang w:val="hy-AM"/>
        </w:rPr>
        <w:t>Արագածոտնի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F753AD">
        <w:rPr>
          <w:rFonts w:ascii="GHEA Grapalat" w:hAnsi="GHEA Grapalat"/>
          <w:sz w:val="24"/>
          <w:szCs w:val="24"/>
          <w:lang w:val="hy-AM"/>
        </w:rPr>
        <w:t>գ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F753AD">
        <w:rPr>
          <w:rFonts w:ascii="GHEA Grapalat" w:hAnsi="GHEA Grapalat"/>
          <w:sz w:val="24"/>
          <w:szCs w:val="24"/>
          <w:lang w:val="hy-AM"/>
        </w:rPr>
        <w:t>ի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F753AD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F753AD">
        <w:rPr>
          <w:rFonts w:ascii="Cambria Math" w:hAnsi="Cambria Math"/>
          <w:sz w:val="24"/>
          <w:szCs w:val="24"/>
          <w:lang w:val="hy-AM"/>
        </w:rPr>
        <w:t>․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F753AD">
        <w:rPr>
          <w:rFonts w:ascii="GHEA Grapalat" w:hAnsi="GHEA Grapalat"/>
          <w:sz w:val="24"/>
          <w:szCs w:val="24"/>
          <w:lang w:val="hy-AM"/>
        </w:rPr>
        <w:t>84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1FD3923C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7D29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13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7D29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B4883DA" w14:textId="14FCCE53" w:rsidR="005A3114" w:rsidRPr="00AE5591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</w:p>
    <w:p w14:paraId="5D11431C" w14:textId="07F7216F" w:rsidR="0067149D" w:rsidRPr="001C694A" w:rsidRDefault="0067149D" w:rsidP="005A3114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58113272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9D0816">
        <w:rPr>
          <w:rFonts w:ascii="GHEA Grapalat" w:hAnsi="GHEA Grapalat"/>
          <w:sz w:val="24"/>
          <w:szCs w:val="24"/>
          <w:lang w:val="hy-AM"/>
        </w:rPr>
        <w:t>ապրիլի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816">
        <w:rPr>
          <w:rFonts w:ascii="GHEA Grapalat" w:hAnsi="GHEA Grapalat"/>
          <w:sz w:val="24"/>
          <w:szCs w:val="24"/>
          <w:lang w:val="hy-AM"/>
        </w:rPr>
        <w:t>07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F753AD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52607FB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D0816">
        <w:rPr>
          <w:rFonts w:ascii="GHEA Grapalat" w:hAnsi="GHEA Grapalat"/>
          <w:sz w:val="24"/>
          <w:szCs w:val="24"/>
          <w:lang w:val="hy-AM"/>
        </w:rPr>
        <w:t>ապրիլի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9D0816">
        <w:rPr>
          <w:rFonts w:ascii="GHEA Grapalat" w:hAnsi="GHEA Grapalat" w:cs="Helvetica"/>
          <w:sz w:val="24"/>
          <w:szCs w:val="24"/>
          <w:lang w:val="hy-AM"/>
        </w:rPr>
        <w:t>09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F753AD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1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440A84D6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 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</w:t>
      </w:r>
      <w:r w:rsidR="001E73B5" w:rsidRPr="00450D76">
        <w:rPr>
          <w:rFonts w:ascii="GHEA Grapalat" w:hAnsi="GHEA Grapalat" w:cs="Sylfaen"/>
          <w:sz w:val="24"/>
          <w:szCs w:val="24"/>
          <w:lang w:val="hy-AM"/>
        </w:rPr>
        <w:t>»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 xml:space="preserve">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C573B61" w:rsidR="00DB5819" w:rsidRPr="00F3347E" w:rsidRDefault="007D29EA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r w:rsidR="00DB5819" w:rsidRPr="00984C72">
        <w:rPr>
          <w:rFonts w:cs="Sylfaen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6C4D48" w:rsidRPr="00175DB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7D29EA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7A28FAA3" w:rsidR="00DB5819" w:rsidRPr="00F55CAC" w:rsidRDefault="007D29EA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F3347E" w:rsidRPr="00F3347E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74F7423D" w:rsidR="00DB5819" w:rsidRPr="00F3347E" w:rsidRDefault="007D29EA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1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7D29EA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3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1029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5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94</cp:revision>
  <cp:lastPrinted>2025-03-18T04:40:00Z</cp:lastPrinted>
  <dcterms:created xsi:type="dcterms:W3CDTF">2025-03-17T13:03:00Z</dcterms:created>
  <dcterms:modified xsi:type="dcterms:W3CDTF">2026-03-06T08:30:00Z</dcterms:modified>
</cp:coreProperties>
</file>