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6362F7A" w:rsidR="00870F3B" w:rsidRDefault="002D1F2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2D1F25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 հաշվառման-քննական ծառայությունների մատուցման, թույլտվությունների և լիցենզավորման վարչության </w:t>
      </w:r>
      <w:r w:rsidR="000964FC">
        <w:rPr>
          <w:rFonts w:ascii="GHEA Grapalat" w:hAnsi="GHEA Grapalat"/>
          <w:b/>
          <w:lang w:val="hy-AM"/>
        </w:rPr>
        <w:t>Շիրակի</w:t>
      </w:r>
      <w:r w:rsidRPr="002D1F25">
        <w:rPr>
          <w:rFonts w:ascii="GHEA Grapalat" w:hAnsi="GHEA Grapalat"/>
          <w:b/>
          <w:lang w:val="hy-AM"/>
        </w:rPr>
        <w:t xml:space="preserve"> մարզի հաշվառման-քննական բաժնի գլխավոր մասնագետի (ծածկագիր՝ </w:t>
      </w:r>
      <w:r w:rsidR="000E3F2F">
        <w:rPr>
          <w:rFonts w:ascii="GHEA Grapalat" w:hAnsi="GHEA Grapalat"/>
          <w:b/>
          <w:lang w:val="hy-AM"/>
        </w:rPr>
        <w:t xml:space="preserve">                 </w:t>
      </w:r>
      <w:r w:rsidRPr="002D1F25">
        <w:rPr>
          <w:rFonts w:ascii="GHEA Grapalat" w:hAnsi="GHEA Grapalat"/>
          <w:b/>
          <w:lang w:val="hy-AM"/>
        </w:rPr>
        <w:t>27-33.6-Մ2</w:t>
      </w:r>
      <w:r w:rsidRPr="002D1F25">
        <w:rPr>
          <w:rFonts w:ascii="GHEA Grapalat" w:hAnsi="GHEA Grapalat"/>
          <w:b/>
          <w:lang w:val="es-ES"/>
        </w:rPr>
        <w:t>-</w:t>
      </w:r>
      <w:r w:rsidR="000E3F2F">
        <w:rPr>
          <w:rFonts w:ascii="GHEA Grapalat" w:hAnsi="GHEA Grapalat"/>
          <w:b/>
          <w:lang w:val="hy-AM"/>
        </w:rPr>
        <w:t>37</w:t>
      </w:r>
      <w:r w:rsidRPr="002D1F25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14855686" w14:textId="77777777" w:rsidR="002B1CA2" w:rsidRPr="004B7043" w:rsidRDefault="002B1CA2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093BB453" w14:textId="4597FEFD" w:rsidR="00541BE8" w:rsidRPr="000964FC" w:rsidRDefault="000964FC" w:rsidP="000964F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541BE8" w:rsidRPr="007D70B9">
        <w:rPr>
          <w:rFonts w:ascii="GHEA Grapalat" w:hAnsi="GHEA Grapalat"/>
          <w:lang w:val="hy-AM"/>
        </w:rPr>
        <w:t xml:space="preserve"> </w:t>
      </w:r>
      <w:r w:rsidR="00541BE8" w:rsidRPr="002B1CA2">
        <w:rPr>
          <w:rFonts w:ascii="GHEA Grapalat" w:hAnsi="GHEA Grapalat" w:cs="Helvetica"/>
          <w:lang w:val="hy-AM"/>
        </w:rPr>
        <w:t>(</w:t>
      </w:r>
      <w:r w:rsidRPr="000964FC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Շիրակի մարզ, ք</w:t>
      </w:r>
      <w:r>
        <w:rPr>
          <w:rFonts w:ascii="Cambria Math" w:hAnsi="Cambria Math" w:cs="Helvetica"/>
          <w:sz w:val="24"/>
          <w:szCs w:val="24"/>
          <w:lang w:val="hy-AM"/>
        </w:rPr>
        <w:t>․</w:t>
      </w:r>
      <w:r w:rsidRPr="000964FC">
        <w:rPr>
          <w:rFonts w:ascii="GHEA Grapalat" w:hAnsi="GHEA Grapalat" w:cs="Helvetica"/>
          <w:sz w:val="24"/>
          <w:szCs w:val="24"/>
          <w:lang w:val="hy-AM"/>
        </w:rPr>
        <w:t xml:space="preserve"> Գյումրի, Թբիլիսյան խճուղի, 2/14 շենք</w:t>
      </w:r>
      <w:r w:rsidR="00541BE8" w:rsidRPr="002B1CA2">
        <w:rPr>
          <w:rFonts w:ascii="GHEA Grapalat" w:hAnsi="GHEA Grapalat" w:cs="Helvetica"/>
          <w:lang w:val="hy-AM"/>
        </w:rPr>
        <w:t>)</w:t>
      </w:r>
      <w:r w:rsidR="00645A31" w:rsidRPr="002B1CA2">
        <w:rPr>
          <w:rFonts w:ascii="GHEA Grapalat" w:hAnsi="GHEA Grapalat" w:cs="Helvetica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6CA126B" w:rsidR="00541BE8" w:rsidRPr="00263880" w:rsidRDefault="0057642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C466F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C466FA">
        <w:rPr>
          <w:rFonts w:ascii="GHEA Grapalat" w:hAnsi="GHEA Grapalat"/>
          <w:sz w:val="24"/>
          <w:szCs w:val="24"/>
          <w:lang w:val="hy-AM"/>
        </w:rPr>
        <w:t>Շիրակի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C466FA">
        <w:rPr>
          <w:rFonts w:ascii="GHEA Grapalat" w:hAnsi="GHEA Grapalat"/>
          <w:sz w:val="24"/>
          <w:szCs w:val="24"/>
          <w:lang w:val="hy-AM"/>
        </w:rPr>
        <w:t>37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68B0A22" w:rsidR="00AE754C" w:rsidRPr="00703AC1" w:rsidRDefault="0057642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6F3036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6F3036">
        <w:rPr>
          <w:rFonts w:ascii="GHEA Grapalat" w:hAnsi="GHEA Grapalat"/>
          <w:sz w:val="24"/>
          <w:szCs w:val="24"/>
          <w:lang w:val="hy-AM"/>
        </w:rPr>
        <w:t>Շիրակի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6F3036">
        <w:rPr>
          <w:rFonts w:ascii="GHEA Grapalat" w:hAnsi="GHEA Grapalat"/>
          <w:sz w:val="24"/>
          <w:szCs w:val="24"/>
          <w:lang w:val="hy-AM"/>
        </w:rPr>
        <w:t>37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1245362" w14:textId="77777777" w:rsidR="000518F2" w:rsidRPr="00703AC1" w:rsidRDefault="000518F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24CA72E" w:rsidR="00880CE6" w:rsidRPr="00703AC1" w:rsidRDefault="00862B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 հաշվառման-քննական ծառայությունների մատուցման, թույլտվությունների և լիցենզավորման վարչության </w:t>
      </w:r>
      <w:r w:rsidR="00483575">
        <w:rPr>
          <w:rFonts w:ascii="GHEA Grapalat" w:hAnsi="GHEA Grapalat"/>
          <w:sz w:val="24"/>
          <w:szCs w:val="24"/>
          <w:lang w:val="hy-AM"/>
        </w:rPr>
        <w:t>Շիրակի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(ծածկագիր՝</w:t>
      </w:r>
      <w:r w:rsidR="007734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483575">
        <w:rPr>
          <w:rFonts w:ascii="GHEA Grapalat" w:hAnsi="GHEA Grapalat"/>
          <w:sz w:val="24"/>
          <w:szCs w:val="24"/>
          <w:lang w:val="hy-AM"/>
        </w:rPr>
        <w:t>37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2A4EBC90" w:rsidR="009826D5" w:rsidRPr="00225A1B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25A1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225A1B" w:rsidRPr="00F65579">
        <w:rPr>
          <w:rFonts w:ascii="GHEA Grapalat" w:eastAsia="Calibri" w:hAnsi="GHEA Grapalat"/>
          <w:b/>
          <w:i/>
          <w:sz w:val="24"/>
          <w:szCs w:val="24"/>
          <w:lang w:val="hy-AM"/>
        </w:rPr>
        <w:t>մարտի</w:t>
      </w:r>
      <w:r w:rsidR="0060293F" w:rsidRPr="00F6557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4F4B13" w:rsidRPr="00F65579">
        <w:rPr>
          <w:rFonts w:ascii="GHEA Grapalat" w:eastAsia="Calibri" w:hAnsi="GHEA Grapalat"/>
          <w:b/>
          <w:i/>
          <w:sz w:val="24"/>
          <w:szCs w:val="24"/>
          <w:lang w:val="hy-AM"/>
        </w:rPr>
        <w:t>3</w:t>
      </w:r>
      <w:r w:rsidR="00F65579" w:rsidRPr="00F65579">
        <w:rPr>
          <w:rFonts w:ascii="GHEA Grapalat" w:eastAsia="Calibri" w:hAnsi="GHEA Grapalat"/>
          <w:b/>
          <w:i/>
          <w:sz w:val="24"/>
          <w:szCs w:val="24"/>
          <w:lang w:val="hy-AM"/>
        </w:rPr>
        <w:t>1</w:t>
      </w:r>
      <w:r w:rsidR="00A04E01" w:rsidRPr="00F65579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F6557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25A1B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  <w:bookmarkStart w:id="0" w:name="_GoBack"/>
      <w:bookmarkEnd w:id="0"/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330726C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 w:rsidRPr="00994319">
        <w:rPr>
          <w:rFonts w:ascii="GHEA Grapalat" w:hAnsi="GHEA Grapalat"/>
          <w:sz w:val="24"/>
          <w:szCs w:val="24"/>
          <w:lang w:val="hy-AM"/>
        </w:rPr>
        <w:t>2026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994319" w:rsidRPr="00994319">
        <w:rPr>
          <w:rFonts w:ascii="GHEA Grapalat" w:hAnsi="GHEA Grapalat"/>
          <w:sz w:val="24"/>
          <w:szCs w:val="24"/>
          <w:lang w:val="hy-AM"/>
        </w:rPr>
        <w:t>ապրիլի</w:t>
      </w:r>
      <w:r w:rsidR="000943A4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F1432">
        <w:rPr>
          <w:rFonts w:ascii="GHEA Grapalat" w:hAnsi="GHEA Grapalat"/>
          <w:sz w:val="24"/>
          <w:szCs w:val="24"/>
          <w:lang w:val="hy-AM"/>
        </w:rPr>
        <w:t>27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 w:rsidRPr="00994319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994319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 w:rsidRPr="00994319">
        <w:rPr>
          <w:rFonts w:ascii="GHEA Grapalat" w:hAnsi="GHEA Grapalat"/>
          <w:sz w:val="24"/>
          <w:szCs w:val="24"/>
          <w:lang w:val="hy-AM"/>
        </w:rPr>
        <w:t>30</w:t>
      </w:r>
      <w:r w:rsidRPr="00994319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994319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փրկարար ծառայության վարչական շենքում՝ 2-րդ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576C5CF" w:rsidR="0067149D" w:rsidRPr="00E36D23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 w:rsidRPr="00994319">
        <w:rPr>
          <w:rFonts w:ascii="GHEA Grapalat" w:hAnsi="GHEA Grapalat" w:cs="Helvetica"/>
          <w:sz w:val="24"/>
          <w:szCs w:val="24"/>
          <w:lang w:val="hy-AM"/>
        </w:rPr>
        <w:t>2026</w:t>
      </w:r>
      <w:r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994319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94319" w:rsidRPr="00994319">
        <w:rPr>
          <w:rFonts w:ascii="GHEA Grapalat" w:hAnsi="GHEA Grapalat"/>
          <w:sz w:val="24"/>
          <w:szCs w:val="24"/>
          <w:lang w:val="hy-AM"/>
        </w:rPr>
        <w:t>ապրիլի</w:t>
      </w:r>
      <w:r w:rsidR="000943A4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F1432">
        <w:rPr>
          <w:rFonts w:ascii="GHEA Grapalat" w:hAnsi="GHEA Grapalat"/>
          <w:sz w:val="24"/>
          <w:szCs w:val="24"/>
          <w:lang w:val="hy-AM"/>
        </w:rPr>
        <w:t>29</w:t>
      </w:r>
      <w:r w:rsidR="00167911" w:rsidRPr="00994319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E19EF" w:rsidRPr="00994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994319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994319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9943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994319">
        <w:rPr>
          <w:rFonts w:ascii="GHEA Grapalat" w:hAnsi="GHEA Grapalat" w:cs="Helvetica"/>
          <w:sz w:val="24"/>
          <w:szCs w:val="24"/>
          <w:lang w:val="hy-AM"/>
        </w:rPr>
        <w:t xml:space="preserve">վարչական շենքում (հասցե՝ ՀՀ,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1518313" w14:textId="77777777" w:rsidR="005E748B" w:rsidRPr="00703AC1" w:rsidRDefault="005E748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F6557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F6557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F6557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F6557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C0D814B" w14:textId="77777777" w:rsidR="004D7B27" w:rsidRDefault="00617EE4" w:rsidP="004D7B27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5E0F8FA2" w:rsidR="000B1995" w:rsidRPr="000B1995" w:rsidRDefault="00F65579" w:rsidP="004D7B27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20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</w:t>
        </w:r>
        <w:r w:rsidR="00016ED5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50902B" w14:textId="3E27C2C4" w:rsidR="000B1995" w:rsidRPr="000B1995" w:rsidRDefault="00F65579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2A67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6BB7B1A3" w14:textId="57A289ED" w:rsidR="000B1995" w:rsidRPr="000B1995" w:rsidRDefault="00F65579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0126A943" w14:textId="4D542D0F" w:rsidR="000B1995" w:rsidRPr="000B1995" w:rsidRDefault="00F65579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5E74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4719F5D0" w:rsidR="00B30D64" w:rsidRPr="00B30D64" w:rsidRDefault="00F65579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ՍԱՀՄԱՆԱԴՐՈՒԹՅՈՒՆ/նոր</w:t>
        </w:r>
      </w:hyperlink>
    </w:p>
    <w:p w14:paraId="006387DE" w14:textId="77777777" w:rsidR="00B30D64" w:rsidRPr="00B30D64" w:rsidRDefault="00F65579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055FFFFB" w14:textId="77777777" w:rsidR="00B30D64" w:rsidRPr="00B30D64" w:rsidRDefault="00F65579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F65579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16ED5"/>
    <w:rsid w:val="000209EB"/>
    <w:rsid w:val="000330E4"/>
    <w:rsid w:val="000332BA"/>
    <w:rsid w:val="00033E65"/>
    <w:rsid w:val="0003517D"/>
    <w:rsid w:val="000508E4"/>
    <w:rsid w:val="000518F2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964FC"/>
    <w:rsid w:val="000B02CE"/>
    <w:rsid w:val="000B1995"/>
    <w:rsid w:val="000B32BC"/>
    <w:rsid w:val="000C1116"/>
    <w:rsid w:val="000C7233"/>
    <w:rsid w:val="000D0B88"/>
    <w:rsid w:val="000D266B"/>
    <w:rsid w:val="000E3F2F"/>
    <w:rsid w:val="000E5A7F"/>
    <w:rsid w:val="000F1432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7217F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25A1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A674A"/>
    <w:rsid w:val="002B0F30"/>
    <w:rsid w:val="002B1CA2"/>
    <w:rsid w:val="002C0D14"/>
    <w:rsid w:val="002C3CFD"/>
    <w:rsid w:val="002C4C70"/>
    <w:rsid w:val="002C52B2"/>
    <w:rsid w:val="002D0336"/>
    <w:rsid w:val="002D1F25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7006D"/>
    <w:rsid w:val="00470584"/>
    <w:rsid w:val="004721A5"/>
    <w:rsid w:val="00473786"/>
    <w:rsid w:val="00474BBE"/>
    <w:rsid w:val="00483208"/>
    <w:rsid w:val="00483575"/>
    <w:rsid w:val="00483CB5"/>
    <w:rsid w:val="00490AD9"/>
    <w:rsid w:val="00490DFD"/>
    <w:rsid w:val="004A6532"/>
    <w:rsid w:val="004B7043"/>
    <w:rsid w:val="004C457B"/>
    <w:rsid w:val="004D1A34"/>
    <w:rsid w:val="004D6DE4"/>
    <w:rsid w:val="004D7B27"/>
    <w:rsid w:val="004E10E0"/>
    <w:rsid w:val="004F1391"/>
    <w:rsid w:val="004F4B13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7642B"/>
    <w:rsid w:val="00581FA9"/>
    <w:rsid w:val="00584792"/>
    <w:rsid w:val="00586676"/>
    <w:rsid w:val="00586F2A"/>
    <w:rsid w:val="005A1448"/>
    <w:rsid w:val="005A618D"/>
    <w:rsid w:val="005B02BA"/>
    <w:rsid w:val="005B4847"/>
    <w:rsid w:val="005C275E"/>
    <w:rsid w:val="005E0942"/>
    <w:rsid w:val="005E5530"/>
    <w:rsid w:val="005E748B"/>
    <w:rsid w:val="005F5EC3"/>
    <w:rsid w:val="00600736"/>
    <w:rsid w:val="00601228"/>
    <w:rsid w:val="0060293F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3036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72573"/>
    <w:rsid w:val="0077343F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2B69"/>
    <w:rsid w:val="00864606"/>
    <w:rsid w:val="00865BFF"/>
    <w:rsid w:val="008675B9"/>
    <w:rsid w:val="00870F3B"/>
    <w:rsid w:val="00880CE6"/>
    <w:rsid w:val="008825C1"/>
    <w:rsid w:val="00884F3C"/>
    <w:rsid w:val="0089068D"/>
    <w:rsid w:val="008A01DA"/>
    <w:rsid w:val="008A5909"/>
    <w:rsid w:val="008B0687"/>
    <w:rsid w:val="008C16F9"/>
    <w:rsid w:val="008D1B33"/>
    <w:rsid w:val="008D31A0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826D5"/>
    <w:rsid w:val="00987D3C"/>
    <w:rsid w:val="00994319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0C35"/>
    <w:rsid w:val="00AE19EF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466FA"/>
    <w:rsid w:val="00C53E47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C494F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55BD8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27135"/>
    <w:rsid w:val="00F30BE8"/>
    <w:rsid w:val="00F33577"/>
    <w:rsid w:val="00F45F92"/>
    <w:rsid w:val="00F47437"/>
    <w:rsid w:val="00F63427"/>
    <w:rsid w:val="00F65579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21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0955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1029/latest" TargetMode="External"/><Relationship Id="rId27" Type="http://schemas.openxmlformats.org/officeDocument/2006/relationships/hyperlink" Target="https://www.arlis.am/hy/acts/19982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37C4-E068-4F0F-A77A-8472E84F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306</cp:revision>
  <cp:lastPrinted>2025-06-06T08:47:00Z</cp:lastPrinted>
  <dcterms:created xsi:type="dcterms:W3CDTF">2024-04-30T09:08:00Z</dcterms:created>
  <dcterms:modified xsi:type="dcterms:W3CDTF">2026-03-24T13:52:00Z</dcterms:modified>
</cp:coreProperties>
</file>