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38496072" w:rsidR="00184C95" w:rsidRDefault="008053FA" w:rsidP="00360924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57FA2"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</w:p>
    <w:p w14:paraId="3A5D85C3" w14:textId="085E9CEB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80809">
        <w:rPr>
          <w:rFonts w:ascii="GHEA Grapalat" w:hAnsi="GHEA Grapalat"/>
          <w:b/>
          <w:sz w:val="24"/>
          <w:szCs w:val="24"/>
          <w:lang w:val="hy-AM"/>
        </w:rPr>
        <w:t>փ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որձագետի</w:t>
      </w:r>
      <w:r w:rsidR="0038080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90DDA" w:rsidRPr="0005616F">
        <w:rPr>
          <w:rFonts w:ascii="GHEA Grapalat" w:hAnsi="GHEA Grapalat"/>
          <w:b/>
          <w:sz w:val="24"/>
          <w:szCs w:val="24"/>
          <w:lang w:val="hy-AM"/>
        </w:rPr>
        <w:t>(</w:t>
      </w:r>
      <w:r w:rsidR="00D90DDA">
        <w:rPr>
          <w:rFonts w:ascii="GHEA Grapalat" w:hAnsi="GHEA Grapalat"/>
          <w:b/>
          <w:sz w:val="24"/>
          <w:szCs w:val="24"/>
          <w:lang w:val="hy-AM"/>
        </w:rPr>
        <w:t xml:space="preserve">թվով </w:t>
      </w:r>
      <w:r w:rsidR="0005616F">
        <w:rPr>
          <w:rFonts w:ascii="GHEA Grapalat" w:hAnsi="GHEA Grapalat"/>
          <w:b/>
          <w:sz w:val="24"/>
          <w:szCs w:val="24"/>
          <w:lang w:val="hy-AM"/>
        </w:rPr>
        <w:t>2</w:t>
      </w:r>
      <w:r w:rsidR="00D90DDA" w:rsidRPr="0005616F">
        <w:rPr>
          <w:rFonts w:ascii="GHEA Grapalat" w:hAnsi="GHEA Grapalat"/>
          <w:b/>
          <w:sz w:val="24"/>
          <w:szCs w:val="24"/>
          <w:lang w:val="hy-AM"/>
        </w:rPr>
        <w:t>)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431BF2E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323F8B5" w14:textId="77777777" w:rsid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8FFC3" w14:textId="77777777" w:rsidR="00857FA2" w:rsidRPr="00FF3AF5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248A4AC" w14:textId="77777777" w:rsidR="00857FA2" w:rsidRPr="00857FA2" w:rsidRDefault="00857FA2" w:rsidP="00360924">
      <w:pPr>
        <w:pStyle w:val="ListParagraph"/>
        <w:numPr>
          <w:ilvl w:val="0"/>
          <w:numId w:val="27"/>
        </w:numPr>
        <w:tabs>
          <w:tab w:val="left" w:pos="1080"/>
        </w:tabs>
        <w:spacing w:after="0" w:line="259" w:lineRule="auto"/>
        <w:ind w:left="284" w:hanging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07E2233E" w14:textId="77777777" w:rsidR="00857FA2" w:rsidRPr="00E23FBB" w:rsidRDefault="00857FA2" w:rsidP="00857FA2">
      <w:pPr>
        <w:pStyle w:val="ListParagraph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6FBFF9F6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561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</w:t>
      </w:r>
      <w:r w:rsidR="00D6078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0561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01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59F74F39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10/17 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5616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80809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1535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DDA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E00C68E4-48B7-4B1E-A162-2F32C579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kadrer3</cp:lastModifiedBy>
  <cp:revision>9</cp:revision>
  <cp:lastPrinted>2023-12-22T11:31:00Z</cp:lastPrinted>
  <dcterms:created xsi:type="dcterms:W3CDTF">2025-12-23T05:30:00Z</dcterms:created>
  <dcterms:modified xsi:type="dcterms:W3CDTF">2026-03-27T12:10:00Z</dcterms:modified>
</cp:coreProperties>
</file>