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871E3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81C6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43FFE40" w:rsidR="005A5290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4F1D8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E66">
        <w:rPr>
          <w:rFonts w:ascii="GHEA Grapalat" w:hAnsi="GHEA Grapalat"/>
          <w:sz w:val="24"/>
          <w:szCs w:val="24"/>
          <w:lang w:val="hy-AM"/>
        </w:rPr>
        <w:t xml:space="preserve">ապրիլի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3E5E66">
        <w:rPr>
          <w:rFonts w:ascii="GHEA Grapalat" w:hAnsi="GHEA Grapalat"/>
          <w:sz w:val="24"/>
          <w:szCs w:val="24"/>
          <w:lang w:val="hy-AM"/>
        </w:rPr>
        <w:t>21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996A5D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E66">
        <w:rPr>
          <w:rFonts w:ascii="GHEA Grapalat" w:hAnsi="GHEA Grapalat"/>
          <w:sz w:val="24"/>
          <w:szCs w:val="24"/>
          <w:lang w:val="hy-AM"/>
        </w:rPr>
        <w:t>3057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60C9EF30" w14:textId="77777777" w:rsidR="00871E31" w:rsidRPr="005A5290" w:rsidRDefault="00871E31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4B99162" w14:textId="77777777" w:rsidR="005A5290" w:rsidRPr="005A5290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871E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708C27D0" w:rsidR="00324D50" w:rsidRDefault="008212E3" w:rsidP="00871E31">
      <w:pPr>
        <w:tabs>
          <w:tab w:val="center" w:pos="1134"/>
          <w:tab w:val="center" w:pos="1560"/>
        </w:tabs>
        <w:spacing w:after="0" w:line="240" w:lineRule="auto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12E3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քաղաքացիության շնորհման վարչության քաղաքացիության շնորհման և դադարեցման</w:t>
      </w:r>
      <w:r w:rsidR="002B2F58" w:rsidRPr="008212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F0001A" w:rsidRDefault="002A5909" w:rsidP="00871E31">
      <w:pPr>
        <w:tabs>
          <w:tab w:val="center" w:pos="1134"/>
          <w:tab w:val="center" w:pos="1560"/>
        </w:tabs>
        <w:spacing w:after="0" w:line="240" w:lineRule="auto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4734EBFB" w:rsidR="005A5290" w:rsidRPr="000C15E9" w:rsidRDefault="005A5290" w:rsidP="00871E31">
      <w:pPr>
        <w:pStyle w:val="ListParagraph"/>
        <w:numPr>
          <w:ilvl w:val="0"/>
          <w:numId w:val="3"/>
        </w:numPr>
        <w:spacing w:after="0" w:line="240" w:lineRule="auto"/>
        <w:ind w:left="-142" w:firstLine="273"/>
        <w:rPr>
          <w:rFonts w:ascii="GHEA Grapalat" w:hAnsi="GHEA Grapalat"/>
          <w:b/>
          <w:sz w:val="24"/>
          <w:szCs w:val="24"/>
        </w:rPr>
      </w:pPr>
      <w:r w:rsidRPr="000C15E9">
        <w:rPr>
          <w:rFonts w:ascii="GHEA Grapalat" w:hAnsi="GHEA Grapalat"/>
          <w:b/>
          <w:sz w:val="24"/>
          <w:szCs w:val="24"/>
        </w:rPr>
        <w:t>Ներգրավ</w:t>
      </w:r>
      <w:r w:rsidRPr="000C15E9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0C15E9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1B63E776" w14:textId="43015BEC" w:rsidR="002A5909" w:rsidRPr="008212E3" w:rsidRDefault="008212E3" w:rsidP="00871E31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12E3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քաղաքացիության շնորհման վարչության քաղաքացիության շնորհման և դադարեցման </w:t>
      </w:r>
      <w:r w:rsidR="00045A65" w:rsidRPr="00954CDB">
        <w:rPr>
          <w:rFonts w:ascii="GHEA Grapalat" w:hAnsi="GHEA Grapalat"/>
          <w:sz w:val="24"/>
          <w:szCs w:val="24"/>
          <w:lang w:val="hy-AM"/>
        </w:rPr>
        <w:t>բաժնի</w:t>
      </w:r>
      <w:r w:rsidR="00045A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65" w:rsidRPr="008212E3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E783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045A65" w:rsidRPr="008212E3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Pr="008212E3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այդ թվում՝ Լեռնային Ղարաբաղից բռնի տեղահանված և ժամանակավոր պաշտպանություն ստացած փախստականների քաղաքացիության ստանալու գործընթացը պատշաճ և ժամանակին կազմակերպելու նպատակով</w:t>
      </w:r>
      <w:r w:rsidR="00045A65" w:rsidRPr="008212E3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առաջացել</w:t>
      </w:r>
      <w:r w:rsidR="00045A65" w:rsidRPr="00FC7F44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="005C128C" w:rsidRPr="00FC7F44">
        <w:rPr>
          <w:rFonts w:ascii="GHEA Grapalat" w:hAnsi="GHEA Grapalat"/>
          <w:sz w:val="24"/>
          <w:szCs w:val="24"/>
          <w:lang w:val="hy-AM"/>
        </w:rPr>
        <w:t>:</w:t>
      </w:r>
      <w:r w:rsidR="00502534" w:rsidRPr="008212E3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2E18A8A0" w14:textId="7D445B19" w:rsidR="008212E3" w:rsidRPr="008212E3" w:rsidRDefault="00806562" w:rsidP="00871E31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549F8792" w:rsidR="005A5290" w:rsidRPr="000C15E9" w:rsidRDefault="00962530" w:rsidP="00871E31">
      <w:pPr>
        <w:tabs>
          <w:tab w:val="left" w:pos="99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0C15E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C15E9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39CA50" w14:textId="33F3BB0B" w:rsidR="00045A65" w:rsidRDefault="00045A6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71EE7570" w14:textId="15F542E9" w:rsidR="004F1D80" w:rsidRDefault="00B90F8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4F1D80">
        <w:rPr>
          <w:rFonts w:ascii="Cambria Math" w:hAnsi="Cambria Math"/>
          <w:sz w:val="24"/>
          <w:szCs w:val="24"/>
          <w:lang w:val="hy-AM"/>
        </w:rPr>
        <w:t>․</w:t>
      </w:r>
    </w:p>
    <w:p w14:paraId="4AC58C61" w14:textId="2E39DB55" w:rsidR="000C15E9" w:rsidRPr="008212E3" w:rsidRDefault="008212E3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212E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</w:t>
      </w:r>
      <w:r w:rsidR="004F1D80" w:rsidRPr="008212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710CA8F" w14:textId="77777777" w:rsidR="00045A65" w:rsidRPr="00045A65" w:rsidRDefault="00045A6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4622EEE" w14:textId="3A37B960" w:rsidR="00045A65" w:rsidRPr="00045A65" w:rsidRDefault="00045A65" w:rsidP="00871E3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04E141C" w14:textId="77777777" w:rsidR="000C15E9" w:rsidRPr="00996A5D" w:rsidRDefault="002A5909" w:rsidP="00871E31">
      <w:pPr>
        <w:tabs>
          <w:tab w:val="left" w:pos="-142"/>
          <w:tab w:val="left" w:pos="142"/>
        </w:tabs>
        <w:spacing w:after="0" w:line="24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5E664658" w:rsidR="003F7077" w:rsidRPr="005A5290" w:rsidRDefault="002A5909" w:rsidP="00871E31">
      <w:pPr>
        <w:tabs>
          <w:tab w:val="left" w:pos="-142"/>
          <w:tab w:val="left" w:pos="142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BC011DD" w:rsidR="003F7077" w:rsidRDefault="00045A65" w:rsidP="00871E3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 xml:space="preserve">1 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DE431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996A5D" w:rsidRDefault="000C15E9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728873D" w14:textId="459CB511" w:rsidR="00481325" w:rsidRPr="00F76912" w:rsidRDefault="00A873C3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9208400" w14:textId="77777777" w:rsidR="00F76912" w:rsidRPr="00F76912" w:rsidRDefault="00F76912" w:rsidP="00871E31">
      <w:pPr>
        <w:pStyle w:val="ListParagraph"/>
        <w:tabs>
          <w:tab w:val="left" w:pos="993"/>
          <w:tab w:val="left" w:pos="1134"/>
        </w:tabs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6748F3D8" w14:textId="77777777" w:rsidR="00F76912" w:rsidRPr="00F76912" w:rsidRDefault="00F76912" w:rsidP="00871E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912">
        <w:rPr>
          <w:rFonts w:ascii="GHEA Grapalat" w:hAnsi="GHEA Grapalat" w:cs="Sylfaen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դիմումներով վարույթների իրականացման և իրականացված վարույթների արդյունքում եզրակացությունների կազմման աշխատանքներին.</w:t>
      </w:r>
      <w:r w:rsidRPr="00F76912">
        <w:rPr>
          <w:rFonts w:ascii="Calibri" w:hAnsi="Calibri" w:cs="Calibri"/>
          <w:sz w:val="24"/>
          <w:szCs w:val="24"/>
          <w:lang w:val="hy-AM"/>
        </w:rPr>
        <w:t> </w:t>
      </w:r>
    </w:p>
    <w:p w14:paraId="74BFA212" w14:textId="77777777" w:rsidR="00F76912" w:rsidRPr="00F76912" w:rsidRDefault="00F76912" w:rsidP="00871E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912">
        <w:rPr>
          <w:rFonts w:ascii="GHEA Grapalat" w:hAnsi="GHEA Grapalat" w:cs="Sylfaen"/>
          <w:sz w:val="24"/>
          <w:szCs w:val="24"/>
          <w:lang w:val="hy-AM"/>
        </w:rPr>
        <w:t>ՀՀ նախագահի կողմից ՀՀ քաղաքացիությունը դադարեցնելու դիմումները բավարարելու դեպքում՝ տրամադրում է համապատասխան տեղեկանքներ, մասնակցում է ՀՀ քաղաքացիություն ստանալու կամ դադարեցնելու դիմումների ընթացքի ապահովման, համապատասխան շտեմարաններում տվյալների մուտքագրման աշխատանքներին</w:t>
      </w:r>
      <w:r w:rsidRPr="00F7691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CACAC1E" w14:textId="76EEA0DE" w:rsidR="00F76912" w:rsidRPr="00F76912" w:rsidRDefault="00F76912" w:rsidP="00871E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912">
        <w:rPr>
          <w:rFonts w:ascii="GHEA Grapalat" w:hAnsi="GHEA Grapalat" w:cs="Sylfaen"/>
          <w:sz w:val="24"/>
          <w:szCs w:val="24"/>
          <w:lang w:val="hy-AM"/>
        </w:rPr>
        <w:t>ՀՀ քաղաքացիություն ստանալու կամ դադարեցնելու դիմումները բավարարելու կամ մերժելու դեպքերում իրականացնում է դիմումատուներին համապատասխան ծանուցումների ուղարկումը։</w:t>
      </w:r>
    </w:p>
    <w:p w14:paraId="0F8686AE" w14:textId="77777777" w:rsidR="00474D81" w:rsidRPr="00474D81" w:rsidRDefault="00474D81" w:rsidP="00871E31">
      <w:pPr>
        <w:pStyle w:val="ListParagraph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B0885" w:rsidRDefault="00A04CBC" w:rsidP="00871E31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E0FCF91" w14:textId="77777777" w:rsidR="00326562" w:rsidRPr="006931A3" w:rsidRDefault="00326562" w:rsidP="00871E31">
      <w:pPr>
        <w:pStyle w:val="ListParagraph"/>
        <w:numPr>
          <w:ilvl w:val="0"/>
          <w:numId w:val="1"/>
        </w:numPr>
        <w:spacing w:after="0" w:line="240" w:lineRule="auto"/>
        <w:ind w:left="709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931A3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3F9AF645" w14:textId="1A7BD2CC" w:rsidR="00326562" w:rsidRPr="00871E31" w:rsidRDefault="00326562" w:rsidP="00871E31">
      <w:pPr>
        <w:pStyle w:val="ListParagraph"/>
        <w:numPr>
          <w:ilvl w:val="0"/>
          <w:numId w:val="1"/>
        </w:numPr>
        <w:tabs>
          <w:tab w:val="left" w:pos="1134"/>
          <w:tab w:val="left" w:pos="1440"/>
          <w:tab w:val="left" w:pos="1701"/>
        </w:tabs>
        <w:spacing w:after="0" w:line="240" w:lineRule="auto"/>
        <w:ind w:left="709" w:right="-5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35B93">
        <w:rPr>
          <w:rFonts w:ascii="GHEA Grapalat" w:hAnsi="GHEA Grapalat" w:cs="Arial Armenian"/>
          <w:sz w:val="24"/>
          <w:szCs w:val="24"/>
          <w:lang w:val="hy-AM"/>
        </w:rPr>
        <w:t>գերազանց:</w:t>
      </w:r>
    </w:p>
    <w:p w14:paraId="1B529E46" w14:textId="77777777" w:rsidR="00871E31" w:rsidRPr="00635B93" w:rsidRDefault="00871E31" w:rsidP="00871E31">
      <w:pPr>
        <w:pStyle w:val="ListParagraph"/>
        <w:tabs>
          <w:tab w:val="left" w:pos="1134"/>
          <w:tab w:val="left" w:pos="1440"/>
          <w:tab w:val="left" w:pos="1701"/>
        </w:tabs>
        <w:spacing w:after="0" w:line="240" w:lineRule="auto"/>
        <w:ind w:left="992" w:right="-56"/>
        <w:jc w:val="both"/>
        <w:rPr>
          <w:rFonts w:ascii="GHEA Grapalat" w:hAnsi="GHEA Grapalat"/>
          <w:sz w:val="24"/>
          <w:szCs w:val="24"/>
          <w:lang w:val="hy-AM"/>
        </w:rPr>
      </w:pPr>
    </w:p>
    <w:p w14:paraId="2965AE71" w14:textId="467E17B9" w:rsidR="001466C0" w:rsidRDefault="00A04CBC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E61014D" w14:textId="77777777" w:rsidR="00871E31" w:rsidRPr="003C05E9" w:rsidRDefault="00871E31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14:paraId="468D62F4" w14:textId="156DC670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և ՀՀ քաղաքացիությունը դադարեցնելու վերաբերյալ դիմումներին (այդ թվում՝ ՀՀ արտաքին գործերի նախարարության միջոցով ուղարկված) կից փաստաթղթերի ամբողջականութ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յան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ՀՀ օրենսդրությամբ պահանջվող փաստաթղթերի՝ օտար լեզվով կազմված լինելու դեպքում նաև դրանց՝ օրենքով սահմանված կարգով կատարված լինել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թարգմանությունների հայերեն վավերացված լինել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ՀՀ օրենսդրությամբ նախատեսված փաստաթղթեր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դեսպանության կամ հյուպատոսական հիմնարկի կողմից հաստատված լինել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 ստուգում և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ուսումնասիր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C06845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391A0F1F" w14:textId="482DC526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անձի քաղաքացիություն ստանալու կամ դադարեցնելու դիմումները մերժելու վերաբերյալ կազմ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ցուցակներ</w:t>
      </w:r>
      <w:r w:rsidR="00C06845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37C2E1FE" w14:textId="44C77155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անձի քաղաքացիություն ստանալու կամ դադարեցնելու դիմումների վերաբերյալ կազմված վերջնական եզրարկացությունների հիման վրա բավարարվող կամ մերժվող դիմումնե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րի </w:t>
      </w:r>
      <w:r w:rsidR="00C06845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ցուցակ</w:t>
      </w:r>
      <w:r w:rsidRPr="001466C0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4A649CEC" w14:textId="21A4462E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նախագահի հրամանագրերը ստանալուց հետո դիմումատուներին ուղար</w:t>
      </w:r>
      <w:r w:rsidR="00C06845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ծանուցումներ (հաղորդագրություններ)</w:t>
      </w:r>
      <w:r w:rsidRPr="001466C0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 </w:t>
      </w:r>
    </w:p>
    <w:p w14:paraId="10E4E6CC" w14:textId="1491608D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նախագահի հրամանագրով քաղաքացիությունը դադարեցրած անձանց համապատասխան շտեմարաններ</w:t>
      </w:r>
      <w:r w:rsidR="006025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02557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մուտքագր</w:t>
      </w:r>
      <w:r w:rsidR="0060255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="00602557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տվյալներ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60255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ինչպես նաև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Բնակչության պետական ռեգիստրում անվավեր</w:t>
      </w:r>
      <w:r w:rsidR="006025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02557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ճանաչ</w:t>
      </w:r>
      <w:r w:rsidR="0060255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="00602557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անձնագրեր</w:t>
      </w:r>
      <w:r w:rsidRPr="001466C0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3876EA84" w14:textId="4FD2A5D2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դիմումների ընթացքի վերաբերյալ քաղաքացիների հարցումներին</w:t>
      </w:r>
      <w:r w:rsidR="005C180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դիմումներին</w:t>
      </w:r>
      <w:r w:rsidRPr="001466C0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5C1809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պատասխան</w:t>
      </w:r>
      <w:r w:rsidR="005C1809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450F8B97" w14:textId="752254FB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անձի քաղաքացիություն ստանալու, դադարեցնելու կարգի, անհրաժեշտ փաստաթղթերի, ժամկետների և օրենքով նախատեսված այլ ընթացակարգերի վերաբերյալ</w:t>
      </w:r>
      <w:r w:rsidR="00873B7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73B78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խորհրդատվություն </w:t>
      </w:r>
      <w:r w:rsidR="00873B78" w:rsidRPr="00873B78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873B78"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բանավոր կամ գրավոր</w:t>
      </w:r>
      <w:r w:rsidR="00873B78" w:rsidRPr="00873B78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873B78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006AFE32" w14:textId="1DD7FF72" w:rsidR="001466C0" w:rsidRPr="001466C0" w:rsidRDefault="001466C0" w:rsidP="00871E31">
      <w:pPr>
        <w:pStyle w:val="ListParagraph"/>
        <w:numPr>
          <w:ilvl w:val="0"/>
          <w:numId w:val="4"/>
        </w:numPr>
        <w:tabs>
          <w:tab w:val="clear" w:pos="1211"/>
          <w:tab w:val="num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անձի դիմումի հիման վրա տրամադր</w:t>
      </w:r>
      <w:r w:rsidR="003C05E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ված</w:t>
      </w:r>
      <w:r w:rsidRPr="001466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պարզաբանումներ քաղաքացիություն ստանալու կամ դադարեցնելու գործերում առկա՝ գաղտնիք չկազմող տեղեկությունների, դիմումը բավարարելու կամ մերժելու իրավական հիմքերի վերաբերյալ։</w:t>
      </w:r>
    </w:p>
    <w:sectPr w:rsidR="001466C0" w:rsidRPr="001466C0" w:rsidSect="008212E3">
      <w:headerReference w:type="default" r:id="rId8"/>
      <w:footerReference w:type="default" r:id="rId9"/>
      <w:pgSz w:w="11906" w:h="16838" w:code="9"/>
      <w:pgMar w:top="567" w:right="707" w:bottom="450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D251" w14:textId="77777777" w:rsidR="00507A83" w:rsidRDefault="00507A83">
      <w:pPr>
        <w:spacing w:after="0" w:line="240" w:lineRule="auto"/>
      </w:pPr>
      <w:r>
        <w:separator/>
      </w:r>
    </w:p>
  </w:endnote>
  <w:endnote w:type="continuationSeparator" w:id="0">
    <w:p w14:paraId="737BA506" w14:textId="77777777" w:rsidR="00507A83" w:rsidRDefault="0050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000000" w:rsidP="00667D88">
    <w:pPr>
      <w:pStyle w:val="Footer"/>
    </w:pPr>
  </w:p>
  <w:p w14:paraId="3C189173" w14:textId="77777777" w:rsidR="00F976E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4503" w14:textId="77777777" w:rsidR="00507A83" w:rsidRDefault="00507A83">
      <w:pPr>
        <w:spacing w:after="0" w:line="240" w:lineRule="auto"/>
      </w:pPr>
      <w:r>
        <w:separator/>
      </w:r>
    </w:p>
  </w:footnote>
  <w:footnote w:type="continuationSeparator" w:id="0">
    <w:p w14:paraId="719B8EB3" w14:textId="77777777" w:rsidR="00507A83" w:rsidRDefault="0050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1957720">
    <w:abstractNumId w:val="3"/>
  </w:num>
  <w:num w:numId="2" w16cid:durableId="1968511770">
    <w:abstractNumId w:val="4"/>
  </w:num>
  <w:num w:numId="3" w16cid:durableId="359597143">
    <w:abstractNumId w:val="2"/>
  </w:num>
  <w:num w:numId="4" w16cid:durableId="630792498">
    <w:abstractNumId w:val="0"/>
  </w:num>
  <w:num w:numId="5" w16cid:durableId="141520684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759FE"/>
    <w:rsid w:val="000900E2"/>
    <w:rsid w:val="00094121"/>
    <w:rsid w:val="000B497D"/>
    <w:rsid w:val="000B7356"/>
    <w:rsid w:val="000C15E9"/>
    <w:rsid w:val="000C573B"/>
    <w:rsid w:val="000E140C"/>
    <w:rsid w:val="000E3D88"/>
    <w:rsid w:val="00100B90"/>
    <w:rsid w:val="00110A82"/>
    <w:rsid w:val="00110EE3"/>
    <w:rsid w:val="00112E66"/>
    <w:rsid w:val="0011426A"/>
    <w:rsid w:val="00134064"/>
    <w:rsid w:val="001466C0"/>
    <w:rsid w:val="00172A81"/>
    <w:rsid w:val="00172BE4"/>
    <w:rsid w:val="00173BAD"/>
    <w:rsid w:val="001802A2"/>
    <w:rsid w:val="00181209"/>
    <w:rsid w:val="00187166"/>
    <w:rsid w:val="001A0C34"/>
    <w:rsid w:val="001A1786"/>
    <w:rsid w:val="001E79B1"/>
    <w:rsid w:val="001E7FDC"/>
    <w:rsid w:val="001F29CB"/>
    <w:rsid w:val="001F6E57"/>
    <w:rsid w:val="00206A03"/>
    <w:rsid w:val="0022384F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2F58"/>
    <w:rsid w:val="002B3F35"/>
    <w:rsid w:val="002C1506"/>
    <w:rsid w:val="002D3CB3"/>
    <w:rsid w:val="002D790C"/>
    <w:rsid w:val="003078FA"/>
    <w:rsid w:val="00317523"/>
    <w:rsid w:val="00324D50"/>
    <w:rsid w:val="003257A6"/>
    <w:rsid w:val="00326562"/>
    <w:rsid w:val="00331D2B"/>
    <w:rsid w:val="00332B6F"/>
    <w:rsid w:val="00346FA8"/>
    <w:rsid w:val="003505F2"/>
    <w:rsid w:val="00352527"/>
    <w:rsid w:val="00355662"/>
    <w:rsid w:val="00360CB6"/>
    <w:rsid w:val="00382742"/>
    <w:rsid w:val="003901CE"/>
    <w:rsid w:val="003A1D92"/>
    <w:rsid w:val="003C05E9"/>
    <w:rsid w:val="003C3DD9"/>
    <w:rsid w:val="003D216F"/>
    <w:rsid w:val="003D2883"/>
    <w:rsid w:val="003E5E66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81325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4F1D80"/>
    <w:rsid w:val="00502534"/>
    <w:rsid w:val="00503550"/>
    <w:rsid w:val="00506DA6"/>
    <w:rsid w:val="00507A83"/>
    <w:rsid w:val="0051026B"/>
    <w:rsid w:val="00514CA2"/>
    <w:rsid w:val="00515146"/>
    <w:rsid w:val="00517E6C"/>
    <w:rsid w:val="005419B4"/>
    <w:rsid w:val="00544EAB"/>
    <w:rsid w:val="0057082B"/>
    <w:rsid w:val="00583DF3"/>
    <w:rsid w:val="005945C7"/>
    <w:rsid w:val="005A3253"/>
    <w:rsid w:val="005A48FC"/>
    <w:rsid w:val="005A5290"/>
    <w:rsid w:val="005B0885"/>
    <w:rsid w:val="005B3844"/>
    <w:rsid w:val="005C128C"/>
    <w:rsid w:val="005C1809"/>
    <w:rsid w:val="005C2429"/>
    <w:rsid w:val="005D2841"/>
    <w:rsid w:val="005E623B"/>
    <w:rsid w:val="005F44B7"/>
    <w:rsid w:val="005F5AFA"/>
    <w:rsid w:val="00600014"/>
    <w:rsid w:val="006001AC"/>
    <w:rsid w:val="00602557"/>
    <w:rsid w:val="00616200"/>
    <w:rsid w:val="00631821"/>
    <w:rsid w:val="0064303E"/>
    <w:rsid w:val="006511A5"/>
    <w:rsid w:val="00651D09"/>
    <w:rsid w:val="00654F21"/>
    <w:rsid w:val="00662B15"/>
    <w:rsid w:val="00686398"/>
    <w:rsid w:val="00692BC1"/>
    <w:rsid w:val="006A0305"/>
    <w:rsid w:val="006A1122"/>
    <w:rsid w:val="006A312A"/>
    <w:rsid w:val="006C6E4F"/>
    <w:rsid w:val="006D32DC"/>
    <w:rsid w:val="006F0349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1C61"/>
    <w:rsid w:val="0078709F"/>
    <w:rsid w:val="007912D0"/>
    <w:rsid w:val="007B29A1"/>
    <w:rsid w:val="007C295A"/>
    <w:rsid w:val="007D25A2"/>
    <w:rsid w:val="007D26B4"/>
    <w:rsid w:val="007D555E"/>
    <w:rsid w:val="007F0D38"/>
    <w:rsid w:val="00806562"/>
    <w:rsid w:val="00813167"/>
    <w:rsid w:val="008212E3"/>
    <w:rsid w:val="0083615E"/>
    <w:rsid w:val="00843914"/>
    <w:rsid w:val="00845A11"/>
    <w:rsid w:val="00871E31"/>
    <w:rsid w:val="00873B78"/>
    <w:rsid w:val="00875D96"/>
    <w:rsid w:val="00894F5F"/>
    <w:rsid w:val="008A2FE6"/>
    <w:rsid w:val="008B1E35"/>
    <w:rsid w:val="008D30EE"/>
    <w:rsid w:val="008E7FDA"/>
    <w:rsid w:val="008F5A93"/>
    <w:rsid w:val="00900BC6"/>
    <w:rsid w:val="00902706"/>
    <w:rsid w:val="00917BE8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96A5D"/>
    <w:rsid w:val="009A069B"/>
    <w:rsid w:val="009A7BF4"/>
    <w:rsid w:val="009D2EC1"/>
    <w:rsid w:val="009D4052"/>
    <w:rsid w:val="009D6E52"/>
    <w:rsid w:val="00A04CBC"/>
    <w:rsid w:val="00A163CC"/>
    <w:rsid w:val="00A169AB"/>
    <w:rsid w:val="00A23A55"/>
    <w:rsid w:val="00A45D50"/>
    <w:rsid w:val="00A47DBA"/>
    <w:rsid w:val="00A623B7"/>
    <w:rsid w:val="00A82356"/>
    <w:rsid w:val="00A873C3"/>
    <w:rsid w:val="00A91452"/>
    <w:rsid w:val="00A91D0D"/>
    <w:rsid w:val="00A95379"/>
    <w:rsid w:val="00A979AF"/>
    <w:rsid w:val="00AA0909"/>
    <w:rsid w:val="00AB05C7"/>
    <w:rsid w:val="00AB35E4"/>
    <w:rsid w:val="00AD526A"/>
    <w:rsid w:val="00B14A23"/>
    <w:rsid w:val="00B306CB"/>
    <w:rsid w:val="00B42AF4"/>
    <w:rsid w:val="00B43B99"/>
    <w:rsid w:val="00B565D2"/>
    <w:rsid w:val="00B6157B"/>
    <w:rsid w:val="00B61E4C"/>
    <w:rsid w:val="00B63FAA"/>
    <w:rsid w:val="00B802D3"/>
    <w:rsid w:val="00B870DE"/>
    <w:rsid w:val="00B90F85"/>
    <w:rsid w:val="00BA7DCF"/>
    <w:rsid w:val="00BC1895"/>
    <w:rsid w:val="00BC4B4F"/>
    <w:rsid w:val="00BD000F"/>
    <w:rsid w:val="00BD0DE3"/>
    <w:rsid w:val="00BD3025"/>
    <w:rsid w:val="00BF2D4C"/>
    <w:rsid w:val="00BF6808"/>
    <w:rsid w:val="00C00505"/>
    <w:rsid w:val="00C0684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DE4317"/>
    <w:rsid w:val="00DE783D"/>
    <w:rsid w:val="00E54950"/>
    <w:rsid w:val="00E81DEA"/>
    <w:rsid w:val="00E91F1B"/>
    <w:rsid w:val="00E92380"/>
    <w:rsid w:val="00EB294A"/>
    <w:rsid w:val="00EB4D1D"/>
    <w:rsid w:val="00EC6B10"/>
    <w:rsid w:val="00ED1BCB"/>
    <w:rsid w:val="00ED7A8D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613FB"/>
    <w:rsid w:val="00F65355"/>
    <w:rsid w:val="00F70A78"/>
    <w:rsid w:val="00F7144C"/>
    <w:rsid w:val="00F76912"/>
    <w:rsid w:val="00F92446"/>
    <w:rsid w:val="00FA1B19"/>
    <w:rsid w:val="00FA47C4"/>
    <w:rsid w:val="00FB5B87"/>
    <w:rsid w:val="00FB694D"/>
    <w:rsid w:val="00FB70C1"/>
    <w:rsid w:val="00FB7614"/>
    <w:rsid w:val="00FC08BC"/>
    <w:rsid w:val="00FC555A"/>
    <w:rsid w:val="00FC5D10"/>
    <w:rsid w:val="00FD2261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6AD69A40-390E-44B7-A5E8-06CC5C9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2631-29B9-4563-9C8C-C3EE98B1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28</cp:revision>
  <cp:lastPrinted>2024-02-20T06:34:00Z</cp:lastPrinted>
  <dcterms:created xsi:type="dcterms:W3CDTF">2025-10-31T12:31:00Z</dcterms:created>
  <dcterms:modified xsi:type="dcterms:W3CDTF">2026-04-21T07:34:00Z</dcterms:modified>
</cp:coreProperties>
</file>