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55DC9418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C1B85" w:rsidRPr="00156A20">
        <w:rPr>
          <w:rFonts w:ascii="GHEA Grapalat" w:hAnsi="GHEA Grapalat" w:cs="Sylfaen"/>
          <w:b/>
          <w:bCs/>
          <w:lang w:val="hy-AM"/>
        </w:rPr>
        <w:t>(</w:t>
      </w:r>
      <w:r w:rsidR="009C1B85">
        <w:rPr>
          <w:rFonts w:ascii="GHEA Grapalat" w:hAnsi="GHEA Grapalat" w:cs="Sylfaen"/>
          <w:b/>
          <w:bCs/>
          <w:lang w:val="hy-AM"/>
        </w:rPr>
        <w:t xml:space="preserve">թվով՝ </w:t>
      </w:r>
      <w:r w:rsidR="00EF5E31">
        <w:rPr>
          <w:rFonts w:ascii="GHEA Grapalat" w:hAnsi="GHEA Grapalat" w:cs="Sylfaen"/>
          <w:b/>
          <w:bCs/>
          <w:lang w:val="hy-AM"/>
        </w:rPr>
        <w:t>3</w:t>
      </w:r>
      <w:r w:rsidR="009C1B85" w:rsidRPr="00156A20">
        <w:rPr>
          <w:rFonts w:ascii="GHEA Grapalat" w:hAnsi="GHEA Grapalat" w:cs="Sylfaen"/>
          <w:b/>
          <w:bCs/>
          <w:lang w:val="hy-AM"/>
        </w:rPr>
        <w:t>)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18EF8B27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F5E31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EF5E3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EF5E31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7B70DC2C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F6A3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մայիսի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C039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F6A3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bookmarkStart w:id="0" w:name="_GoBack"/>
      <w:bookmarkEnd w:id="0"/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0958509C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ք</w:t>
      </w:r>
      <w:r w:rsidR="00EF5E31" w:rsidRPr="004A4F1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>․</w:t>
      </w:r>
      <w:r w:rsidR="00EF5E3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 xml:space="preserve">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Արարատ, Շահումյան 12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560FFBFE" w14:textId="723293CA" w:rsidR="003D5EF1" w:rsidRDefault="00A97DDB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  <w:r w:rsidRPr="00A97DDB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Pr="00A97DDB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  <w:t xml:space="preserve"> </w:t>
      </w:r>
      <w:r w:rsidR="003D5EF1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>ՀՀ</w:t>
      </w:r>
      <w:r w:rsidR="003D5EF1" w:rsidRPr="00A97DDB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Բաղրամյան համայնք, Արարատյան 2</w:t>
      </w:r>
      <w:r w:rsidR="00EF5E3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,</w:t>
      </w:r>
    </w:p>
    <w:p w14:paraId="195C94B0" w14:textId="7032F4F7" w:rsidR="00EF5E31" w:rsidRPr="00EF5E31" w:rsidRDefault="00EF5E3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    3</w:t>
      </w:r>
      <w:r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 w:rsidRPr="00EF5E31">
        <w:rPr>
          <w:rFonts w:ascii="GHEA Grapalat" w:eastAsia="Calibri" w:hAnsi="GHEA Grapalat"/>
          <w:bCs/>
          <w:sz w:val="26"/>
          <w:szCs w:val="26"/>
          <w:lang w:val="hy-AM"/>
        </w:rPr>
        <w:t xml:space="preserve"> </w:t>
      </w:r>
      <w:r w:rsidR="005F6A38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>ՀՀ</w:t>
      </w:r>
      <w:r w:rsidR="005F6A38" w:rsidRPr="004A4F11">
        <w:rPr>
          <w:rFonts w:ascii="GHEA Grapalat" w:eastAsia="Calibri" w:hAnsi="GHEA Grapalat"/>
          <w:bCs/>
          <w:sz w:val="26"/>
          <w:szCs w:val="26"/>
          <w:lang w:val="hy-AM"/>
        </w:rPr>
        <w:t xml:space="preserve"> </w:t>
      </w:r>
      <w:r w:rsidRPr="004A4F11">
        <w:rPr>
          <w:rFonts w:ascii="GHEA Grapalat" w:eastAsia="Calibri" w:hAnsi="GHEA Grapalat"/>
          <w:bCs/>
          <w:sz w:val="26"/>
          <w:szCs w:val="26"/>
          <w:lang w:val="hy-AM"/>
        </w:rPr>
        <w:t>ք</w:t>
      </w:r>
      <w:r w:rsidRPr="004A4F11">
        <w:rPr>
          <w:rFonts w:ascii="Cambria Math" w:eastAsia="MS Mincho" w:hAnsi="Cambria Math" w:cs="Cambria Math"/>
          <w:bCs/>
          <w:sz w:val="26"/>
          <w:szCs w:val="26"/>
          <w:lang w:val="hy-AM"/>
        </w:rPr>
        <w:t>․</w:t>
      </w:r>
      <w:r>
        <w:rPr>
          <w:rFonts w:ascii="Cambria Math" w:eastAsia="MS Mincho" w:hAnsi="Cambria Math" w:cs="Cambria Math"/>
          <w:bCs/>
          <w:sz w:val="26"/>
          <w:szCs w:val="26"/>
          <w:lang w:val="hy-AM"/>
        </w:rPr>
        <w:t xml:space="preserve"> </w:t>
      </w:r>
      <w:r w:rsidRPr="004A4F11">
        <w:rPr>
          <w:rFonts w:ascii="GHEA Grapalat" w:eastAsia="Calibri" w:hAnsi="GHEA Grapalat"/>
          <w:bCs/>
          <w:sz w:val="26"/>
          <w:szCs w:val="26"/>
          <w:lang w:val="hy-AM"/>
        </w:rPr>
        <w:t>Մասիս,  Բաղրամյան 30</w:t>
      </w:r>
      <w:r w:rsidR="005F6A38">
        <w:rPr>
          <w:rFonts w:ascii="GHEA Grapalat" w:eastAsia="Calibri" w:hAnsi="GHEA Grapalat"/>
          <w:bCs/>
          <w:sz w:val="26"/>
          <w:szCs w:val="26"/>
          <w:lang w:val="hy-AM"/>
        </w:rPr>
        <w:t>։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2023-12-22T11:31:00Z</cp:lastPrinted>
  <dcterms:created xsi:type="dcterms:W3CDTF">2026-04-02T05:39:00Z</dcterms:created>
  <dcterms:modified xsi:type="dcterms:W3CDTF">2026-05-11T06:16:00Z</dcterms:modified>
</cp:coreProperties>
</file>